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E175E" w:rsidRPr="00EA222D" w:rsidRDefault="00901B1A" w:rsidP="00744DE4">
      <w:pPr>
        <w:jc w:val="center"/>
        <w:rPr>
          <w:rFonts w:ascii="宋体" w:eastAsia="宋体" w:hAnsi="宋体" w:hint="eastAsia"/>
          <w:b/>
          <w:sz w:val="36"/>
          <w:szCs w:val="36"/>
        </w:rPr>
      </w:pPr>
      <w:bookmarkStart w:id="0" w:name="_GoBack"/>
      <w:r w:rsidRPr="00EA222D">
        <w:rPr>
          <w:rFonts w:ascii="宋体" w:eastAsia="宋体" w:hAnsi="宋体" w:hint="eastAsia"/>
          <w:b/>
          <w:sz w:val="36"/>
          <w:szCs w:val="36"/>
        </w:rPr>
        <w:t>不同木薯品种</w:t>
      </w:r>
      <w:r w:rsidR="008A023C" w:rsidRPr="00EA222D">
        <w:rPr>
          <w:rFonts w:ascii="宋体" w:eastAsia="宋体" w:hAnsi="宋体" w:hint="eastAsia"/>
          <w:b/>
          <w:sz w:val="36"/>
          <w:szCs w:val="36"/>
        </w:rPr>
        <w:t>（系）</w:t>
      </w:r>
      <w:r w:rsidR="008F4910" w:rsidRPr="00EA222D">
        <w:rPr>
          <w:rFonts w:ascii="宋体" w:eastAsia="宋体" w:hAnsi="宋体" w:hint="eastAsia"/>
          <w:b/>
          <w:sz w:val="36"/>
          <w:szCs w:val="36"/>
        </w:rPr>
        <w:t>类胡萝卜素代谢</w:t>
      </w:r>
      <w:r w:rsidR="008A023C" w:rsidRPr="00EA222D">
        <w:rPr>
          <w:rFonts w:ascii="宋体" w:eastAsia="宋体" w:hAnsi="宋体" w:hint="eastAsia"/>
          <w:b/>
          <w:sz w:val="36"/>
          <w:szCs w:val="36"/>
        </w:rPr>
        <w:t>通路相关基因</w:t>
      </w:r>
      <w:r w:rsidR="001705E4" w:rsidRPr="00EA222D">
        <w:rPr>
          <w:rFonts w:ascii="宋体" w:eastAsia="宋体" w:hAnsi="宋体" w:hint="eastAsia"/>
          <w:b/>
          <w:sz w:val="36"/>
          <w:szCs w:val="36"/>
        </w:rPr>
        <w:t>和蛋白</w:t>
      </w:r>
      <w:r w:rsidR="008A023C" w:rsidRPr="00EA222D">
        <w:rPr>
          <w:rFonts w:ascii="宋体" w:eastAsia="宋体" w:hAnsi="宋体" w:hint="eastAsia"/>
          <w:b/>
          <w:sz w:val="36"/>
          <w:szCs w:val="36"/>
        </w:rPr>
        <w:t>表达水平</w:t>
      </w:r>
      <w:r w:rsidR="008F4910" w:rsidRPr="00EA222D">
        <w:rPr>
          <w:rFonts w:ascii="宋体" w:eastAsia="宋体" w:hAnsi="宋体" w:hint="eastAsia"/>
          <w:b/>
          <w:sz w:val="36"/>
          <w:szCs w:val="36"/>
        </w:rPr>
        <w:t>变化</w:t>
      </w:r>
      <w:r w:rsidR="008A023C" w:rsidRPr="00EA222D">
        <w:rPr>
          <w:rFonts w:ascii="宋体" w:eastAsia="宋体" w:hAnsi="宋体" w:hint="eastAsia"/>
          <w:b/>
          <w:sz w:val="36"/>
          <w:szCs w:val="36"/>
        </w:rPr>
        <w:t>分析</w:t>
      </w:r>
    </w:p>
    <w:bookmarkEnd w:id="0"/>
    <w:p w:rsidR="00CE175E" w:rsidRPr="00BD188C" w:rsidRDefault="00CE175E" w:rsidP="00CE175E">
      <w:pPr>
        <w:spacing w:line="480" w:lineRule="auto"/>
        <w:ind w:firstLineChars="98" w:firstLine="236"/>
        <w:jc w:val="center"/>
        <w:rPr>
          <w:rFonts w:ascii="楷体" w:eastAsia="楷体" w:hAnsi="楷体"/>
          <w:b/>
          <w:sz w:val="24"/>
          <w:szCs w:val="24"/>
        </w:rPr>
      </w:pPr>
      <w:r w:rsidRPr="00BD188C">
        <w:rPr>
          <w:rFonts w:ascii="楷体" w:eastAsia="楷体" w:hAnsi="楷体" w:hint="eastAsia"/>
          <w:b/>
          <w:sz w:val="24"/>
          <w:szCs w:val="24"/>
        </w:rPr>
        <w:t>邓昌哲</w:t>
      </w:r>
      <w:r w:rsidRPr="00BD188C">
        <w:rPr>
          <w:rFonts w:ascii="楷体" w:eastAsia="楷体" w:hAnsi="楷体" w:hint="eastAsia"/>
          <w:b/>
          <w:sz w:val="24"/>
          <w:szCs w:val="24"/>
          <w:vertAlign w:val="superscript"/>
        </w:rPr>
        <w:t>1, 2</w:t>
      </w:r>
      <w:r w:rsidRPr="00BD188C">
        <w:rPr>
          <w:rFonts w:ascii="楷体" w:eastAsia="楷体" w:hAnsi="楷体" w:hint="eastAsia"/>
          <w:b/>
          <w:sz w:val="24"/>
          <w:szCs w:val="24"/>
        </w:rPr>
        <w:t xml:space="preserve">  姚慧</w:t>
      </w:r>
      <w:r w:rsidRPr="00BD188C">
        <w:rPr>
          <w:rFonts w:ascii="楷体" w:eastAsia="楷体" w:hAnsi="楷体" w:hint="eastAsia"/>
          <w:b/>
          <w:sz w:val="24"/>
          <w:szCs w:val="24"/>
          <w:vertAlign w:val="superscript"/>
        </w:rPr>
        <w:t>1,3</w:t>
      </w:r>
      <w:r w:rsidRPr="00BD188C">
        <w:rPr>
          <w:rFonts w:ascii="楷体" w:eastAsia="楷体" w:hAnsi="楷体" w:hint="eastAsia"/>
          <w:b/>
          <w:sz w:val="24"/>
          <w:szCs w:val="24"/>
        </w:rPr>
        <w:t xml:space="preserve">  安飞</w:t>
      </w:r>
      <w:proofErr w:type="gramStart"/>
      <w:r w:rsidRPr="00BD188C">
        <w:rPr>
          <w:rFonts w:ascii="楷体" w:eastAsia="楷体" w:hAnsi="楷体" w:hint="eastAsia"/>
          <w:b/>
          <w:sz w:val="24"/>
          <w:szCs w:val="24"/>
        </w:rPr>
        <w:t>飞</w:t>
      </w:r>
      <w:proofErr w:type="gramEnd"/>
      <w:r w:rsidRPr="00BD188C">
        <w:rPr>
          <w:rFonts w:ascii="楷体" w:eastAsia="楷体" w:hAnsi="楷体" w:hint="eastAsia"/>
          <w:b/>
          <w:sz w:val="24"/>
          <w:szCs w:val="24"/>
          <w:vertAlign w:val="superscript"/>
        </w:rPr>
        <w:t>1</w:t>
      </w:r>
      <w:r w:rsidRPr="00BD188C">
        <w:rPr>
          <w:rFonts w:ascii="楷体" w:eastAsia="楷体" w:hAnsi="楷体" w:hint="eastAsia"/>
          <w:b/>
          <w:sz w:val="24"/>
          <w:szCs w:val="24"/>
        </w:rPr>
        <w:t xml:space="preserve">  李开绵</w:t>
      </w:r>
      <w:r w:rsidRPr="00BD188C">
        <w:rPr>
          <w:rFonts w:ascii="楷体" w:eastAsia="楷体" w:hAnsi="楷体" w:hint="eastAsia"/>
          <w:b/>
          <w:sz w:val="24"/>
          <w:szCs w:val="24"/>
          <w:vertAlign w:val="superscript"/>
        </w:rPr>
        <w:t>1</w:t>
      </w:r>
      <w:r w:rsidRPr="00BD188C">
        <w:rPr>
          <w:rFonts w:ascii="楷体" w:eastAsia="楷体" w:hAnsi="楷体" w:hint="eastAsia"/>
          <w:b/>
          <w:sz w:val="24"/>
          <w:szCs w:val="24"/>
        </w:rPr>
        <w:t xml:space="preserve">  </w:t>
      </w:r>
      <w:proofErr w:type="gramStart"/>
      <w:r w:rsidRPr="00BD188C">
        <w:rPr>
          <w:rFonts w:ascii="楷体" w:eastAsia="楷体" w:hAnsi="楷体" w:hint="eastAsia"/>
          <w:b/>
          <w:sz w:val="24"/>
          <w:szCs w:val="24"/>
        </w:rPr>
        <w:t>陈松笔</w:t>
      </w:r>
      <w:proofErr w:type="gramEnd"/>
      <w:r w:rsidRPr="00BD188C">
        <w:rPr>
          <w:rFonts w:ascii="楷体" w:eastAsia="楷体" w:hAnsi="楷体" w:hint="eastAsia"/>
          <w:b/>
          <w:sz w:val="24"/>
          <w:szCs w:val="24"/>
          <w:vertAlign w:val="superscript"/>
        </w:rPr>
        <w:t>1</w:t>
      </w:r>
      <w:r w:rsidRPr="00BD188C">
        <w:rPr>
          <w:rStyle w:val="ae"/>
          <w:rFonts w:ascii="楷体" w:eastAsia="楷体" w:hAnsi="楷体"/>
          <w:b/>
          <w:sz w:val="24"/>
          <w:szCs w:val="24"/>
        </w:rPr>
        <w:footnoteReference w:customMarkFollows="1" w:id="1"/>
        <w:sym w:font="Symbol" w:char="F02A"/>
      </w:r>
    </w:p>
    <w:p w:rsidR="00CE175E" w:rsidRPr="00BD188C" w:rsidRDefault="00CE175E" w:rsidP="00BD188C">
      <w:pPr>
        <w:spacing w:line="480" w:lineRule="auto"/>
        <w:jc w:val="center"/>
        <w:rPr>
          <w:rFonts w:ascii="Times New Roman" w:hAnsi="Times New Roman" w:hint="eastAsia"/>
          <w:sz w:val="18"/>
          <w:szCs w:val="18"/>
        </w:rPr>
      </w:pPr>
      <w:r w:rsidRPr="00BD188C">
        <w:rPr>
          <w:rFonts w:ascii="宋体" w:eastAsia="宋体" w:hAnsi="宋体" w:hint="eastAsia"/>
          <w:sz w:val="15"/>
          <w:szCs w:val="15"/>
        </w:rPr>
        <w:t>（1中国热带农业科学院热带作物品种资源研究所/农业部木薯种质资源保护与利用重点实验室，海南儋州 571737; 2海南大学农学院, 海南海口 570228;</w:t>
      </w:r>
      <w:r w:rsidRPr="00BD188C">
        <w:rPr>
          <w:rFonts w:ascii="Times New Roman" w:hAnsi="Times New Roman" w:hint="eastAsia"/>
          <w:sz w:val="15"/>
          <w:szCs w:val="15"/>
        </w:rPr>
        <w:t>）</w:t>
      </w:r>
    </w:p>
    <w:p w:rsidR="0056452A" w:rsidRDefault="008F4910" w:rsidP="00BC560D">
      <w:pPr>
        <w:spacing w:line="360" w:lineRule="auto"/>
        <w:rPr>
          <w:rFonts w:ascii="楷体" w:eastAsia="楷体" w:hAnsi="楷体"/>
          <w:sz w:val="18"/>
          <w:szCs w:val="18"/>
        </w:rPr>
      </w:pPr>
      <w:r w:rsidRPr="00BD188C">
        <w:rPr>
          <w:rFonts w:ascii="楷体" w:eastAsia="楷体" w:hAnsi="楷体" w:hint="eastAsia"/>
          <w:sz w:val="18"/>
          <w:szCs w:val="18"/>
        </w:rPr>
        <w:t>摘  要:</w:t>
      </w:r>
      <w:r w:rsidR="0056452A" w:rsidRPr="00BD188C">
        <w:rPr>
          <w:rFonts w:ascii="楷体" w:eastAsia="楷体" w:hAnsi="楷体" w:hint="eastAsia"/>
          <w:sz w:val="18"/>
          <w:szCs w:val="18"/>
        </w:rPr>
        <w:t>【目的】探究不同</w:t>
      </w:r>
      <w:r w:rsidR="008A023C" w:rsidRPr="00BD188C">
        <w:rPr>
          <w:rFonts w:ascii="楷体" w:eastAsia="楷体" w:hAnsi="楷体" w:hint="eastAsia"/>
          <w:sz w:val="18"/>
          <w:szCs w:val="18"/>
        </w:rPr>
        <w:t>木薯</w:t>
      </w:r>
      <w:r w:rsidR="0056452A" w:rsidRPr="00BD188C">
        <w:rPr>
          <w:rFonts w:ascii="楷体" w:eastAsia="楷体" w:hAnsi="楷体" w:hint="eastAsia"/>
          <w:sz w:val="18"/>
          <w:szCs w:val="18"/>
        </w:rPr>
        <w:t>品种</w:t>
      </w:r>
      <w:r w:rsidR="00500FDD" w:rsidRPr="00BD188C">
        <w:rPr>
          <w:rFonts w:ascii="楷体" w:eastAsia="楷体" w:hAnsi="楷体" w:hint="eastAsia"/>
          <w:sz w:val="18"/>
          <w:szCs w:val="18"/>
        </w:rPr>
        <w:t>（系）</w:t>
      </w:r>
      <w:r w:rsidR="0056452A" w:rsidRPr="00BD188C">
        <w:rPr>
          <w:rFonts w:ascii="楷体" w:eastAsia="楷体" w:hAnsi="楷体" w:hint="eastAsia"/>
          <w:sz w:val="18"/>
          <w:szCs w:val="18"/>
        </w:rPr>
        <w:t>的在</w:t>
      </w:r>
      <w:r w:rsidR="008A023C" w:rsidRPr="00BD188C">
        <w:rPr>
          <w:rFonts w:ascii="楷体" w:eastAsia="楷体" w:hAnsi="楷体" w:hint="eastAsia"/>
          <w:sz w:val="18"/>
          <w:szCs w:val="18"/>
        </w:rPr>
        <w:t>膨大期和成熟期</w:t>
      </w:r>
      <w:r w:rsidR="0056452A" w:rsidRPr="00BD188C">
        <w:rPr>
          <w:rFonts w:ascii="楷体" w:eastAsia="楷体" w:hAnsi="楷体" w:hint="eastAsia"/>
          <w:sz w:val="18"/>
          <w:szCs w:val="18"/>
        </w:rPr>
        <w:t>类胡萝卜素</w:t>
      </w:r>
      <w:r w:rsidR="008A023C" w:rsidRPr="00BD188C">
        <w:rPr>
          <w:rFonts w:ascii="楷体" w:eastAsia="楷体" w:hAnsi="楷体" w:hint="eastAsia"/>
          <w:sz w:val="18"/>
          <w:szCs w:val="18"/>
        </w:rPr>
        <w:t>代谢通路</w:t>
      </w:r>
      <w:r w:rsidR="0056452A" w:rsidRPr="00BD188C">
        <w:rPr>
          <w:rFonts w:ascii="楷体" w:eastAsia="楷体" w:hAnsi="楷体" w:hint="eastAsia"/>
          <w:sz w:val="18"/>
          <w:szCs w:val="18"/>
        </w:rPr>
        <w:t>相关基因和</w:t>
      </w:r>
      <w:proofErr w:type="gramStart"/>
      <w:r w:rsidR="0056452A" w:rsidRPr="00BD188C">
        <w:rPr>
          <w:rFonts w:ascii="楷体" w:eastAsia="楷体" w:hAnsi="楷体" w:hint="eastAsia"/>
          <w:sz w:val="18"/>
          <w:szCs w:val="18"/>
        </w:rPr>
        <w:t>酶</w:t>
      </w:r>
      <w:r w:rsidR="008A023C" w:rsidRPr="00BD188C">
        <w:rPr>
          <w:rFonts w:ascii="楷体" w:eastAsia="楷体" w:hAnsi="楷体" w:hint="eastAsia"/>
          <w:sz w:val="18"/>
          <w:szCs w:val="18"/>
        </w:rPr>
        <w:t>表达</w:t>
      </w:r>
      <w:proofErr w:type="gramEnd"/>
      <w:r w:rsidR="008A023C" w:rsidRPr="00BD188C">
        <w:rPr>
          <w:rFonts w:ascii="楷体" w:eastAsia="楷体" w:hAnsi="楷体" w:hint="eastAsia"/>
          <w:sz w:val="18"/>
          <w:szCs w:val="18"/>
        </w:rPr>
        <w:t>水平</w:t>
      </w:r>
      <w:r w:rsidR="0056452A" w:rsidRPr="00BD188C">
        <w:rPr>
          <w:rFonts w:ascii="楷体" w:eastAsia="楷体" w:hAnsi="楷体" w:hint="eastAsia"/>
          <w:sz w:val="18"/>
          <w:szCs w:val="18"/>
        </w:rPr>
        <w:t>的变化。【方法】用HPLC检测块根β-胡萝卜素含量的变化，用</w:t>
      </w:r>
      <w:proofErr w:type="spellStart"/>
      <w:r w:rsidR="0056452A" w:rsidRPr="00BD188C">
        <w:rPr>
          <w:rFonts w:ascii="楷体" w:eastAsia="楷体" w:hAnsi="楷体" w:hint="eastAsia"/>
          <w:sz w:val="18"/>
          <w:szCs w:val="18"/>
        </w:rPr>
        <w:t>q</w:t>
      </w:r>
      <w:r w:rsidR="0056452A" w:rsidRPr="00BD188C">
        <w:rPr>
          <w:rFonts w:ascii="楷体" w:eastAsia="楷体" w:hAnsi="楷体"/>
          <w:sz w:val="18"/>
          <w:szCs w:val="18"/>
        </w:rPr>
        <w:t>RT</w:t>
      </w:r>
      <w:proofErr w:type="spellEnd"/>
      <w:r w:rsidR="0056452A" w:rsidRPr="00BD188C">
        <w:rPr>
          <w:rFonts w:ascii="楷体" w:eastAsia="楷体" w:hAnsi="楷体"/>
          <w:sz w:val="18"/>
          <w:szCs w:val="18"/>
        </w:rPr>
        <w:t>-PCR</w:t>
      </w:r>
      <w:r w:rsidR="0056452A" w:rsidRPr="00BD188C">
        <w:rPr>
          <w:rFonts w:ascii="楷体" w:eastAsia="楷体" w:hAnsi="楷体" w:hint="eastAsia"/>
          <w:sz w:val="18"/>
          <w:szCs w:val="18"/>
        </w:rPr>
        <w:t>的方法对类胡萝卜素代谢</w:t>
      </w:r>
      <w:r w:rsidR="008A023C" w:rsidRPr="00BD188C">
        <w:rPr>
          <w:rFonts w:ascii="楷体" w:eastAsia="楷体" w:hAnsi="楷体" w:hint="eastAsia"/>
          <w:sz w:val="18"/>
          <w:szCs w:val="18"/>
        </w:rPr>
        <w:t>通路</w:t>
      </w:r>
      <w:r w:rsidR="0056452A" w:rsidRPr="00BD188C">
        <w:rPr>
          <w:rFonts w:ascii="楷体" w:eastAsia="楷体" w:hAnsi="楷体" w:hint="eastAsia"/>
          <w:sz w:val="18"/>
          <w:szCs w:val="18"/>
        </w:rPr>
        <w:t>相关基因</w:t>
      </w:r>
      <w:r w:rsidR="008A023C" w:rsidRPr="00BD188C">
        <w:rPr>
          <w:rFonts w:ascii="楷体" w:eastAsia="楷体" w:hAnsi="楷体" w:hint="eastAsia"/>
          <w:sz w:val="18"/>
          <w:szCs w:val="18"/>
        </w:rPr>
        <w:t>进行</w:t>
      </w:r>
      <w:r w:rsidR="00F52518" w:rsidRPr="00BD188C">
        <w:rPr>
          <w:rFonts w:ascii="楷体" w:eastAsia="楷体" w:hAnsi="楷体" w:hint="eastAsia"/>
          <w:sz w:val="18"/>
          <w:szCs w:val="18"/>
        </w:rPr>
        <w:t>定量分析，用Western</w:t>
      </w:r>
      <w:r w:rsidR="00F52518" w:rsidRPr="00BD188C">
        <w:rPr>
          <w:rFonts w:ascii="楷体" w:eastAsia="楷体" w:hAnsi="楷体"/>
          <w:sz w:val="18"/>
          <w:szCs w:val="18"/>
        </w:rPr>
        <w:t xml:space="preserve"> </w:t>
      </w:r>
      <w:r w:rsidR="00F52518" w:rsidRPr="00BD188C">
        <w:rPr>
          <w:rFonts w:ascii="楷体" w:eastAsia="楷体" w:hAnsi="楷体" w:hint="eastAsia"/>
          <w:sz w:val="18"/>
          <w:szCs w:val="18"/>
        </w:rPr>
        <w:t>blot对类胡萝卜素相关</w:t>
      </w:r>
      <w:proofErr w:type="gramStart"/>
      <w:r w:rsidR="00F52518" w:rsidRPr="00BD188C">
        <w:rPr>
          <w:rFonts w:ascii="楷体" w:eastAsia="楷体" w:hAnsi="楷体" w:hint="eastAsia"/>
          <w:sz w:val="18"/>
          <w:szCs w:val="18"/>
        </w:rPr>
        <w:t>酶表达</w:t>
      </w:r>
      <w:proofErr w:type="gramEnd"/>
      <w:r w:rsidR="008A023C" w:rsidRPr="00BD188C">
        <w:rPr>
          <w:rFonts w:ascii="楷体" w:eastAsia="楷体" w:hAnsi="楷体" w:hint="eastAsia"/>
          <w:sz w:val="18"/>
          <w:szCs w:val="18"/>
        </w:rPr>
        <w:t>水平进行</w:t>
      </w:r>
      <w:r w:rsidR="00F52518" w:rsidRPr="00BD188C">
        <w:rPr>
          <w:rFonts w:ascii="楷体" w:eastAsia="楷体" w:hAnsi="楷体" w:hint="eastAsia"/>
          <w:sz w:val="18"/>
          <w:szCs w:val="18"/>
        </w:rPr>
        <w:t>分析。【结果】</w:t>
      </w:r>
      <w:r w:rsidR="00F52518" w:rsidRPr="00BD188C">
        <w:rPr>
          <w:rFonts w:ascii="楷体" w:eastAsia="楷体" w:hAnsi="楷体"/>
          <w:sz w:val="18"/>
          <w:szCs w:val="18"/>
        </w:rPr>
        <w:t>SC9和紫叶黄心木薯成熟期</w:t>
      </w:r>
      <w:r w:rsidR="00F65FE5" w:rsidRPr="00BD188C">
        <w:rPr>
          <w:rFonts w:ascii="楷体" w:eastAsia="楷体" w:hAnsi="楷体" w:hint="eastAsia"/>
          <w:sz w:val="18"/>
          <w:szCs w:val="18"/>
        </w:rPr>
        <w:t>类胡萝卜素合成相关</w:t>
      </w:r>
      <w:r w:rsidR="00F52518" w:rsidRPr="00BD188C">
        <w:rPr>
          <w:rFonts w:ascii="楷体" w:eastAsia="楷体" w:hAnsi="楷体"/>
          <w:sz w:val="18"/>
          <w:szCs w:val="18"/>
        </w:rPr>
        <w:t>的PSY2和LYCB基因的显著上调及降解相关的NCED3和CCD1的显著下调表达是其类胡萝卜积累的原因之一。</w:t>
      </w:r>
      <w:r w:rsidR="00DB004D" w:rsidRPr="00BD188C">
        <w:rPr>
          <w:rFonts w:ascii="楷体" w:eastAsia="楷体" w:hAnsi="楷体" w:hint="eastAsia"/>
          <w:sz w:val="18"/>
          <w:szCs w:val="18"/>
        </w:rPr>
        <w:t>粉红木薯</w:t>
      </w:r>
      <w:r w:rsidR="00F65FE5" w:rsidRPr="00BD188C">
        <w:rPr>
          <w:rFonts w:ascii="楷体" w:eastAsia="楷体" w:hAnsi="楷体" w:hint="eastAsia"/>
          <w:sz w:val="18"/>
          <w:szCs w:val="18"/>
        </w:rPr>
        <w:t>PSY2和</w:t>
      </w:r>
      <w:r w:rsidR="00DB004D" w:rsidRPr="00BD188C">
        <w:rPr>
          <w:rFonts w:ascii="楷体" w:eastAsia="楷体" w:hAnsi="楷体"/>
          <w:sz w:val="18"/>
          <w:szCs w:val="18"/>
        </w:rPr>
        <w:t>LYCB</w:t>
      </w:r>
      <w:r w:rsidR="00F65FE5" w:rsidRPr="00BD188C">
        <w:rPr>
          <w:rFonts w:ascii="楷体" w:eastAsia="楷体" w:hAnsi="楷体"/>
          <w:sz w:val="18"/>
          <w:szCs w:val="18"/>
        </w:rPr>
        <w:t>的</w:t>
      </w:r>
      <w:r w:rsidR="00DB004D" w:rsidRPr="00BD188C">
        <w:rPr>
          <w:rFonts w:ascii="楷体" w:eastAsia="楷体" w:hAnsi="楷体"/>
          <w:sz w:val="18"/>
          <w:szCs w:val="18"/>
        </w:rPr>
        <w:t>显著下调是造成β-类胡萝卜素含量降低的原因之一。</w:t>
      </w:r>
      <w:r w:rsidR="00F52518" w:rsidRPr="00BD188C">
        <w:rPr>
          <w:rFonts w:ascii="楷体" w:eastAsia="楷体" w:hAnsi="楷体" w:hint="eastAsia"/>
          <w:sz w:val="18"/>
          <w:szCs w:val="18"/>
        </w:rPr>
        <w:t>分</w:t>
      </w:r>
      <w:r w:rsidR="007B224E" w:rsidRPr="00BD188C">
        <w:rPr>
          <w:rFonts w:ascii="楷体" w:eastAsia="楷体" w:hAnsi="楷体" w:hint="eastAsia"/>
          <w:sz w:val="18"/>
          <w:szCs w:val="18"/>
        </w:rPr>
        <w:t>子</w:t>
      </w:r>
      <w:r w:rsidR="00F52518" w:rsidRPr="00BD188C">
        <w:rPr>
          <w:rFonts w:ascii="楷体" w:eastAsia="楷体" w:hAnsi="楷体" w:hint="eastAsia"/>
          <w:sz w:val="18"/>
          <w:szCs w:val="18"/>
        </w:rPr>
        <w:t>伴侣</w:t>
      </w:r>
      <w:r w:rsidR="00F52518" w:rsidRPr="00BD188C">
        <w:rPr>
          <w:rFonts w:ascii="楷体" w:eastAsia="楷体" w:hAnsi="楷体"/>
          <w:sz w:val="18"/>
          <w:szCs w:val="18"/>
        </w:rPr>
        <w:t>HSP70在成熟期下调表达与PDS基因具有一致性。活性氧相关酶GR和APX</w:t>
      </w:r>
      <w:r w:rsidR="00134329" w:rsidRPr="00BD188C">
        <w:rPr>
          <w:rFonts w:ascii="楷体" w:eastAsia="楷体" w:hAnsi="楷体" w:hint="eastAsia"/>
          <w:sz w:val="18"/>
          <w:szCs w:val="18"/>
        </w:rPr>
        <w:t>伴随质体的发育呈现上调表达</w:t>
      </w:r>
      <w:r w:rsidR="007B224E" w:rsidRPr="00BD188C">
        <w:rPr>
          <w:rFonts w:ascii="楷体" w:eastAsia="楷体" w:hAnsi="楷体" w:hint="eastAsia"/>
          <w:sz w:val="18"/>
          <w:szCs w:val="18"/>
        </w:rPr>
        <w:t>。【结论】</w:t>
      </w:r>
      <w:r w:rsidR="00134329" w:rsidRPr="00BD188C">
        <w:rPr>
          <w:rFonts w:ascii="楷体" w:eastAsia="楷体" w:hAnsi="楷体" w:hint="eastAsia"/>
          <w:sz w:val="18"/>
          <w:szCs w:val="18"/>
        </w:rPr>
        <w:t>木薯中类胡萝卜素合成途径的关键基因PSY2和LCYB及降解途径的NCED3和CCD1调控块根类胡萝卜素的积累，谷胱甘肽还原酶</w:t>
      </w:r>
      <w:r w:rsidR="006710EC" w:rsidRPr="00BD188C">
        <w:rPr>
          <w:rFonts w:ascii="楷体" w:eastAsia="楷体" w:hAnsi="楷体" w:hint="eastAsia"/>
          <w:sz w:val="18"/>
          <w:szCs w:val="18"/>
        </w:rPr>
        <w:t>（GR</w:t>
      </w:r>
      <w:r w:rsidR="006710EC" w:rsidRPr="00BD188C">
        <w:rPr>
          <w:rFonts w:ascii="楷体" w:eastAsia="楷体" w:hAnsi="楷体"/>
          <w:sz w:val="18"/>
          <w:szCs w:val="18"/>
        </w:rPr>
        <w:t>）</w:t>
      </w:r>
      <w:r w:rsidR="00134329" w:rsidRPr="00BD188C">
        <w:rPr>
          <w:rFonts w:ascii="楷体" w:eastAsia="楷体" w:hAnsi="楷体" w:hint="eastAsia"/>
          <w:sz w:val="18"/>
          <w:szCs w:val="18"/>
        </w:rPr>
        <w:t>和</w:t>
      </w:r>
      <w:r w:rsidR="006710EC" w:rsidRPr="00BD188C">
        <w:rPr>
          <w:rFonts w:ascii="楷体" w:eastAsia="楷体" w:hAnsi="楷体" w:hint="eastAsia"/>
          <w:sz w:val="18"/>
          <w:szCs w:val="18"/>
        </w:rPr>
        <w:t>抗坏血酸过氧化物酶（APX</w:t>
      </w:r>
      <w:r w:rsidR="006710EC" w:rsidRPr="00BD188C">
        <w:rPr>
          <w:rFonts w:ascii="楷体" w:eastAsia="楷体" w:hAnsi="楷体"/>
          <w:sz w:val="18"/>
          <w:szCs w:val="18"/>
        </w:rPr>
        <w:t>）</w:t>
      </w:r>
      <w:r w:rsidR="006710EC" w:rsidRPr="00BD188C">
        <w:rPr>
          <w:rFonts w:ascii="楷体" w:eastAsia="楷体" w:hAnsi="楷体" w:hint="eastAsia"/>
          <w:sz w:val="18"/>
          <w:szCs w:val="18"/>
        </w:rPr>
        <w:t>参与了块根有色体发育。</w:t>
      </w:r>
    </w:p>
    <w:p w:rsidR="00EA222D" w:rsidRDefault="00BC560D" w:rsidP="00BC560D">
      <w:pPr>
        <w:spacing w:line="360" w:lineRule="auto"/>
        <w:rPr>
          <w:rFonts w:ascii="楷体" w:eastAsia="楷体" w:hAnsi="楷体" w:hint="eastAsia"/>
          <w:sz w:val="18"/>
          <w:szCs w:val="18"/>
        </w:rPr>
      </w:pPr>
      <w:r>
        <w:rPr>
          <w:rFonts w:ascii="楷体" w:eastAsia="楷体" w:hAnsi="楷体" w:hint="eastAsia"/>
          <w:sz w:val="18"/>
          <w:szCs w:val="18"/>
        </w:rPr>
        <w:t>关键词：木薯；</w:t>
      </w:r>
      <w:r w:rsidR="00744DE4">
        <w:rPr>
          <w:rFonts w:ascii="楷体" w:eastAsia="楷体" w:hAnsi="楷体" w:hint="eastAsia"/>
          <w:sz w:val="18"/>
          <w:szCs w:val="18"/>
        </w:rPr>
        <w:t>类胡萝卜素；类胡萝卜素相关基因；活性氧相关酶</w:t>
      </w:r>
    </w:p>
    <w:p w:rsidR="00EA222D" w:rsidRDefault="00EA222D" w:rsidP="00EA222D">
      <w:pPr>
        <w:spacing w:line="360" w:lineRule="auto"/>
        <w:jc w:val="center"/>
        <w:rPr>
          <w:rFonts w:ascii="Times New Roman" w:eastAsia="楷体" w:hAnsi="Times New Roman" w:cs="Times New Roman"/>
          <w:b/>
          <w:sz w:val="32"/>
          <w:szCs w:val="32"/>
        </w:rPr>
      </w:pPr>
      <w:r w:rsidRPr="00EA222D">
        <w:rPr>
          <w:rFonts w:ascii="Times New Roman" w:eastAsia="楷体" w:hAnsi="Times New Roman" w:cs="Times New Roman" w:hint="cs"/>
          <w:b/>
          <w:sz w:val="32"/>
          <w:szCs w:val="32"/>
        </w:rPr>
        <w:t>A</w:t>
      </w:r>
      <w:r w:rsidRPr="00EA222D">
        <w:rPr>
          <w:rFonts w:ascii="Times New Roman" w:eastAsia="楷体" w:hAnsi="Times New Roman" w:cs="Times New Roman"/>
          <w:b/>
          <w:sz w:val="32"/>
          <w:szCs w:val="32"/>
        </w:rPr>
        <w:t>nalysis the different cassava varieties(lines) carotenoid pathways related genes and protein expression</w:t>
      </w:r>
    </w:p>
    <w:p w:rsidR="00EA222D" w:rsidRDefault="00EA222D" w:rsidP="00EA222D">
      <w:pPr>
        <w:spacing w:line="360" w:lineRule="auto"/>
        <w:jc w:val="center"/>
        <w:rPr>
          <w:rFonts w:ascii="Times New Roman" w:eastAsia="楷体" w:hAnsi="Times New Roman" w:cs="Times New Roman"/>
          <w:szCs w:val="21"/>
        </w:rPr>
      </w:pPr>
      <w:r>
        <w:rPr>
          <w:rFonts w:ascii="Times New Roman" w:eastAsia="楷体" w:hAnsi="Times New Roman" w:cs="Times New Roman" w:hint="cs"/>
          <w:szCs w:val="21"/>
        </w:rPr>
        <w:t>Deng changzhe</w:t>
      </w:r>
      <w:r>
        <w:rPr>
          <w:rFonts w:ascii="Times New Roman" w:eastAsia="楷体" w:hAnsi="Times New Roman" w:cs="Times New Roman"/>
          <w:szCs w:val="21"/>
          <w:vertAlign w:val="superscript"/>
        </w:rPr>
        <w:t xml:space="preserve">1,2 </w:t>
      </w:r>
      <w:r>
        <w:rPr>
          <w:rFonts w:ascii="Times New Roman" w:eastAsia="楷体" w:hAnsi="Times New Roman" w:cs="Times New Roman" w:hint="eastAsia"/>
          <w:szCs w:val="21"/>
        </w:rPr>
        <w:t>，</w:t>
      </w:r>
      <w:r>
        <w:rPr>
          <w:rFonts w:ascii="Times New Roman" w:eastAsia="楷体" w:hAnsi="Times New Roman" w:cs="Times New Roman"/>
          <w:szCs w:val="21"/>
        </w:rPr>
        <w:t>Yao Hui</w:t>
      </w:r>
      <w:r>
        <w:rPr>
          <w:rFonts w:ascii="Times New Roman" w:eastAsia="楷体" w:hAnsi="Times New Roman" w:cs="Times New Roman"/>
          <w:szCs w:val="21"/>
          <w:vertAlign w:val="superscript"/>
        </w:rPr>
        <w:t>1</w:t>
      </w:r>
      <w:r>
        <w:rPr>
          <w:rFonts w:ascii="Times New Roman" w:eastAsia="楷体" w:hAnsi="Times New Roman" w:cs="Times New Roman" w:hint="eastAsia"/>
          <w:szCs w:val="21"/>
          <w:vertAlign w:val="superscript"/>
        </w:rPr>
        <w:t>,3</w:t>
      </w:r>
      <w:r>
        <w:rPr>
          <w:rFonts w:ascii="Times New Roman" w:eastAsia="楷体" w:hAnsi="Times New Roman" w:cs="Times New Roman" w:hint="eastAsia"/>
          <w:szCs w:val="21"/>
        </w:rPr>
        <w:t>，</w:t>
      </w:r>
      <w:r>
        <w:rPr>
          <w:rFonts w:ascii="Times New Roman" w:eastAsia="楷体" w:hAnsi="Times New Roman" w:cs="Times New Roman"/>
          <w:szCs w:val="21"/>
        </w:rPr>
        <w:t>An Feifei</w:t>
      </w:r>
      <w:r>
        <w:rPr>
          <w:rFonts w:ascii="Times New Roman" w:eastAsia="楷体" w:hAnsi="Times New Roman" w:cs="Times New Roman"/>
          <w:szCs w:val="21"/>
          <w:vertAlign w:val="superscript"/>
        </w:rPr>
        <w:t>1</w:t>
      </w:r>
      <w:r>
        <w:rPr>
          <w:rFonts w:ascii="Times New Roman" w:eastAsia="楷体" w:hAnsi="Times New Roman" w:cs="Times New Roman" w:hint="eastAsia"/>
          <w:szCs w:val="21"/>
        </w:rPr>
        <w:t>，</w:t>
      </w:r>
      <w:r>
        <w:rPr>
          <w:rFonts w:ascii="Times New Roman" w:eastAsia="楷体" w:hAnsi="Times New Roman" w:cs="Times New Roman" w:hint="eastAsia"/>
          <w:szCs w:val="21"/>
        </w:rPr>
        <w:t>Li</w:t>
      </w:r>
      <w:r>
        <w:rPr>
          <w:rFonts w:ascii="Times New Roman" w:eastAsia="楷体" w:hAnsi="Times New Roman" w:cs="Times New Roman"/>
          <w:szCs w:val="21"/>
        </w:rPr>
        <w:t xml:space="preserve"> K</w:t>
      </w:r>
      <w:r>
        <w:rPr>
          <w:rFonts w:ascii="Times New Roman" w:eastAsia="楷体" w:hAnsi="Times New Roman" w:cs="Times New Roman" w:hint="eastAsia"/>
          <w:szCs w:val="21"/>
        </w:rPr>
        <w:t>aimian</w:t>
      </w:r>
      <w:r>
        <w:rPr>
          <w:rFonts w:ascii="Times New Roman" w:eastAsia="楷体" w:hAnsi="Times New Roman" w:cs="Times New Roman"/>
          <w:szCs w:val="21"/>
          <w:vertAlign w:val="superscript"/>
        </w:rPr>
        <w:t>1</w:t>
      </w:r>
      <w:r>
        <w:rPr>
          <w:rFonts w:ascii="Times New Roman" w:eastAsia="楷体" w:hAnsi="Times New Roman" w:cs="Times New Roman" w:hint="eastAsia"/>
          <w:szCs w:val="21"/>
        </w:rPr>
        <w:t>，</w:t>
      </w:r>
      <w:r>
        <w:rPr>
          <w:rFonts w:ascii="Times New Roman" w:eastAsia="楷体" w:hAnsi="Times New Roman" w:cs="Times New Roman" w:hint="eastAsia"/>
          <w:szCs w:val="21"/>
        </w:rPr>
        <w:t>Chen</w:t>
      </w:r>
      <w:r>
        <w:rPr>
          <w:rFonts w:ascii="Times New Roman" w:eastAsia="楷体" w:hAnsi="Times New Roman" w:cs="Times New Roman"/>
          <w:szCs w:val="21"/>
        </w:rPr>
        <w:t xml:space="preserve"> </w:t>
      </w:r>
      <w:proofErr w:type="spellStart"/>
      <w:r>
        <w:rPr>
          <w:rFonts w:ascii="Times New Roman" w:eastAsia="楷体" w:hAnsi="Times New Roman" w:cs="Times New Roman"/>
          <w:szCs w:val="21"/>
        </w:rPr>
        <w:t>Songbi</w:t>
      </w:r>
      <w:proofErr w:type="spellEnd"/>
      <w:r>
        <w:rPr>
          <w:rFonts w:ascii="Times New Roman" w:eastAsia="楷体" w:hAnsi="Times New Roman" w:cs="Times New Roman"/>
          <w:szCs w:val="21"/>
          <w:vertAlign w:val="superscript"/>
        </w:rPr>
        <w:t>*</w:t>
      </w:r>
    </w:p>
    <w:p w:rsidR="00EA222D" w:rsidRPr="00EA222D" w:rsidRDefault="00EA222D" w:rsidP="00EA222D">
      <w:pPr>
        <w:autoSpaceDE w:val="0"/>
        <w:autoSpaceDN w:val="0"/>
        <w:adjustRightInd w:val="0"/>
        <w:jc w:val="center"/>
        <w:rPr>
          <w:rFonts w:ascii="Times New Roman" w:eastAsia="宋体" w:hAnsi="Times New Roman"/>
          <w:sz w:val="15"/>
          <w:szCs w:val="15"/>
        </w:rPr>
      </w:pPr>
      <w:r w:rsidRPr="00EA222D">
        <w:rPr>
          <w:rFonts w:ascii="Times New Roman" w:eastAsia="宋体" w:hAnsi="Times New Roman" w:hint="eastAsia"/>
          <w:sz w:val="15"/>
          <w:szCs w:val="15"/>
        </w:rPr>
        <w:t>(</w:t>
      </w:r>
      <w:r w:rsidRPr="00EA222D">
        <w:rPr>
          <w:rFonts w:ascii="Times New Roman" w:eastAsia="宋体" w:hAnsi="Times New Roman"/>
          <w:i/>
          <w:sz w:val="15"/>
          <w:szCs w:val="15"/>
        </w:rPr>
        <w:t>Hainan University, Haikou</w:t>
      </w:r>
      <w:r w:rsidRPr="00EA222D">
        <w:rPr>
          <w:rFonts w:ascii="Times New Roman" w:eastAsia="宋体" w:hAnsi="Times New Roman"/>
          <w:sz w:val="15"/>
          <w:szCs w:val="15"/>
        </w:rPr>
        <w:t xml:space="preserve">, 570228; </w:t>
      </w:r>
      <w:r w:rsidRPr="00EA222D">
        <w:rPr>
          <w:rFonts w:ascii="Times New Roman" w:eastAsia="E-BZ+ZHIB2q-1" w:hAnsi="Times New Roman"/>
          <w:i/>
          <w:kern w:val="0"/>
          <w:sz w:val="15"/>
          <w:szCs w:val="15"/>
        </w:rPr>
        <w:t>Tropical Crops Genetic resources Institute</w:t>
      </w:r>
      <w:r w:rsidRPr="00EA222D">
        <w:rPr>
          <w:rFonts w:ascii="Times New Roman" w:eastAsia="AdobeHeitiStd-Regular" w:hAnsi="Times New Roman"/>
          <w:i/>
          <w:kern w:val="0"/>
          <w:sz w:val="15"/>
          <w:szCs w:val="15"/>
        </w:rPr>
        <w:t>，</w:t>
      </w:r>
      <w:r w:rsidRPr="00EA222D">
        <w:rPr>
          <w:rFonts w:ascii="Times New Roman" w:eastAsia="E-BZ+ZHIB2q-1" w:hAnsi="Times New Roman"/>
          <w:i/>
          <w:kern w:val="0"/>
          <w:sz w:val="15"/>
          <w:szCs w:val="15"/>
        </w:rPr>
        <w:t>Chinese Academy</w:t>
      </w:r>
      <w:r w:rsidRPr="00EA222D">
        <w:rPr>
          <w:rFonts w:ascii="Times New Roman" w:eastAsia="E-BZ+ZHIB2q-1" w:hAnsi="Times New Roman" w:hint="eastAsia"/>
          <w:i/>
          <w:kern w:val="0"/>
          <w:sz w:val="15"/>
          <w:szCs w:val="15"/>
        </w:rPr>
        <w:t xml:space="preserve"> </w:t>
      </w:r>
      <w:r w:rsidRPr="00EA222D">
        <w:rPr>
          <w:rFonts w:ascii="Times New Roman" w:eastAsia="E-BZ+ZHIB2q-1" w:hAnsi="Times New Roman"/>
          <w:i/>
          <w:kern w:val="0"/>
          <w:sz w:val="15"/>
          <w:szCs w:val="15"/>
        </w:rPr>
        <w:t>of Tropical Agricultural Sciences /Key Laboratory of Ministry of Agriculture for Germplasm resources Conservation and Utilization of Cassava</w:t>
      </w:r>
      <w:r w:rsidRPr="00EA222D">
        <w:rPr>
          <w:rFonts w:ascii="Times New Roman" w:eastAsia="AdobeHeitiStd-Regular" w:hAnsi="Times New Roman"/>
          <w:i/>
          <w:kern w:val="0"/>
          <w:sz w:val="15"/>
          <w:szCs w:val="15"/>
        </w:rPr>
        <w:t>，</w:t>
      </w:r>
      <w:r w:rsidRPr="00EA222D">
        <w:rPr>
          <w:rFonts w:ascii="Times New Roman" w:eastAsia="E-BZ+ZHIB2q-1" w:hAnsi="Times New Roman"/>
          <w:i/>
          <w:kern w:val="0"/>
          <w:sz w:val="15"/>
          <w:szCs w:val="15"/>
        </w:rPr>
        <w:t xml:space="preserve">Hainan </w:t>
      </w:r>
      <w:proofErr w:type="spellStart"/>
      <w:r w:rsidRPr="00EA222D">
        <w:rPr>
          <w:rFonts w:ascii="Times New Roman" w:eastAsia="E-BZ+ZHIB2q-1" w:hAnsi="Times New Roman"/>
          <w:i/>
          <w:kern w:val="0"/>
          <w:sz w:val="15"/>
          <w:szCs w:val="15"/>
        </w:rPr>
        <w:t>Danzhou</w:t>
      </w:r>
      <w:proofErr w:type="spellEnd"/>
      <w:r w:rsidRPr="00EA222D">
        <w:rPr>
          <w:rFonts w:ascii="E-BZ+ZHIB2q-1" w:eastAsia="E-BZ+ZHIB2q-1" w:cs="E-BZ+ZHIB2q-1"/>
          <w:kern w:val="0"/>
          <w:sz w:val="15"/>
          <w:szCs w:val="15"/>
        </w:rPr>
        <w:t xml:space="preserve"> </w:t>
      </w:r>
      <w:r w:rsidRPr="00EA222D">
        <w:rPr>
          <w:rFonts w:ascii="宋体" w:eastAsia="宋体" w:hAnsi="宋体" w:cs="E-BZ+ZHIB2q-1" w:hint="eastAsia"/>
          <w:kern w:val="0"/>
          <w:sz w:val="15"/>
          <w:szCs w:val="15"/>
        </w:rPr>
        <w:t>571737</w:t>
      </w:r>
      <w:r w:rsidRPr="00EA222D">
        <w:rPr>
          <w:rFonts w:ascii="Times New Roman" w:eastAsia="宋体" w:hAnsi="Times New Roman"/>
          <w:sz w:val="15"/>
          <w:szCs w:val="15"/>
        </w:rPr>
        <w:t>)</w:t>
      </w:r>
    </w:p>
    <w:p w:rsidR="00EA222D" w:rsidRPr="00EA222D" w:rsidRDefault="00EA222D" w:rsidP="00EA222D">
      <w:pPr>
        <w:autoSpaceDE w:val="0"/>
        <w:autoSpaceDN w:val="0"/>
        <w:adjustRightInd w:val="0"/>
        <w:jc w:val="center"/>
        <w:rPr>
          <w:rFonts w:ascii="Times New Roman" w:eastAsia="E-BZ+ZHIB2q-1" w:hAnsi="Times New Roman" w:hint="eastAsia"/>
          <w:kern w:val="0"/>
          <w:sz w:val="16"/>
          <w:szCs w:val="16"/>
        </w:rPr>
      </w:pPr>
    </w:p>
    <w:p w:rsidR="00CF57DE" w:rsidRPr="00BD188C" w:rsidRDefault="0008781B" w:rsidP="00CF57DE">
      <w:pPr>
        <w:widowControl/>
        <w:spacing w:line="360" w:lineRule="auto"/>
        <w:rPr>
          <w:rFonts w:ascii="宋体" w:eastAsia="宋体" w:hAnsi="宋体" w:cs="宋体"/>
          <w:kern w:val="0"/>
          <w:sz w:val="18"/>
          <w:szCs w:val="18"/>
        </w:rPr>
      </w:pPr>
      <w:r w:rsidRPr="00BD188C">
        <w:rPr>
          <w:rFonts w:ascii="Times New Roman" w:hAnsi="Times New Roman" w:cs="Times New Roman"/>
          <w:sz w:val="18"/>
          <w:szCs w:val="18"/>
        </w:rPr>
        <w:t>Abstract [Objective]</w:t>
      </w:r>
      <w:r w:rsidRPr="00BD188C">
        <w:rPr>
          <w:sz w:val="18"/>
          <w:szCs w:val="18"/>
          <w:lang w:val="en"/>
        </w:rPr>
        <w:t xml:space="preserve"> </w:t>
      </w:r>
      <w:r w:rsidRPr="00BD188C">
        <w:rPr>
          <w:rFonts w:ascii="Times New Roman" w:hAnsi="Times New Roman" w:cs="Times New Roman"/>
          <w:sz w:val="18"/>
          <w:szCs w:val="18"/>
          <w:lang w:val="en"/>
        </w:rPr>
        <w:t>Explore the varieties of cassava carotenoid genes and enzymes in different growth period. [</w:t>
      </w:r>
      <w:r w:rsidRPr="00BD188C">
        <w:rPr>
          <w:rFonts w:ascii="Times New Roman" w:hAnsi="Times New Roman" w:cs="Times New Roman" w:hint="eastAsia"/>
          <w:sz w:val="18"/>
          <w:szCs w:val="18"/>
          <w:lang w:val="en"/>
        </w:rPr>
        <w:t xml:space="preserve">Method] </w:t>
      </w:r>
      <w:r w:rsidRPr="00BD188C">
        <w:rPr>
          <w:rFonts w:ascii="Times New Roman" w:hAnsi="Times New Roman" w:cs="Times New Roman"/>
          <w:sz w:val="18"/>
          <w:szCs w:val="18"/>
          <w:lang w:val="en"/>
        </w:rPr>
        <w:t xml:space="preserve">HPLC was used to detect the </w:t>
      </w:r>
      <w:r w:rsidR="00312F69" w:rsidRPr="00BD188C">
        <w:rPr>
          <w:rFonts w:ascii="Times New Roman" w:hAnsi="Times New Roman" w:cs="Times New Roman"/>
          <w:sz w:val="18"/>
          <w:szCs w:val="18"/>
          <w:lang w:val="en"/>
        </w:rPr>
        <w:t xml:space="preserve">carotenoid of </w:t>
      </w:r>
      <w:r w:rsidRPr="00BD188C">
        <w:rPr>
          <w:rFonts w:ascii="Times New Roman" w:hAnsi="Times New Roman" w:cs="Times New Roman"/>
          <w:sz w:val="18"/>
          <w:szCs w:val="18"/>
          <w:lang w:val="en"/>
        </w:rPr>
        <w:t>cassava root</w:t>
      </w:r>
      <w:r w:rsidR="00312F69" w:rsidRPr="00BD188C">
        <w:rPr>
          <w:rFonts w:ascii="Times New Roman" w:hAnsi="Times New Roman" w:cs="Times New Roman"/>
          <w:sz w:val="18"/>
          <w:szCs w:val="18"/>
          <w:lang w:val="en"/>
        </w:rPr>
        <w:t xml:space="preserve"> variation. </w:t>
      </w:r>
      <w:proofErr w:type="spellStart"/>
      <w:r w:rsidR="00312F69" w:rsidRPr="00BD188C">
        <w:rPr>
          <w:rFonts w:ascii="Times New Roman" w:hAnsi="Times New Roman" w:cs="Times New Roman" w:hint="eastAsia"/>
          <w:sz w:val="18"/>
          <w:szCs w:val="18"/>
          <w:lang w:val="en"/>
        </w:rPr>
        <w:t>q</w:t>
      </w:r>
      <w:r w:rsidR="00312F69" w:rsidRPr="00BD188C">
        <w:rPr>
          <w:rFonts w:ascii="Times New Roman" w:hAnsi="Times New Roman" w:cs="Times New Roman"/>
          <w:sz w:val="18"/>
          <w:szCs w:val="18"/>
          <w:lang w:val="en"/>
        </w:rPr>
        <w:t>RT</w:t>
      </w:r>
      <w:proofErr w:type="spellEnd"/>
      <w:r w:rsidR="00312F69" w:rsidRPr="00BD188C">
        <w:rPr>
          <w:rFonts w:ascii="Times New Roman" w:hAnsi="Times New Roman" w:cs="Times New Roman"/>
          <w:sz w:val="18"/>
          <w:szCs w:val="18"/>
          <w:lang w:val="en"/>
        </w:rPr>
        <w:t xml:space="preserve">-PCR </w:t>
      </w:r>
      <w:r w:rsidR="00312F69" w:rsidRPr="00BD188C">
        <w:rPr>
          <w:rFonts w:ascii="Times New Roman" w:hAnsi="Times New Roman" w:cs="Times New Roman" w:hint="eastAsia"/>
          <w:sz w:val="18"/>
          <w:szCs w:val="18"/>
          <w:lang w:val="en"/>
        </w:rPr>
        <w:t>was</w:t>
      </w:r>
      <w:r w:rsidR="00312F69" w:rsidRPr="00BD188C">
        <w:rPr>
          <w:rFonts w:ascii="Times New Roman" w:hAnsi="Times New Roman" w:cs="Times New Roman"/>
          <w:sz w:val="18"/>
          <w:szCs w:val="18"/>
          <w:lang w:val="en"/>
        </w:rPr>
        <w:t xml:space="preserve"> applied</w:t>
      </w:r>
      <w:r w:rsidR="00312F69" w:rsidRPr="00BD188C">
        <w:rPr>
          <w:rFonts w:ascii="Times New Roman" w:eastAsia="宋体" w:hAnsi="Times New Roman" w:cs="Times New Roman"/>
          <w:sz w:val="18"/>
          <w:szCs w:val="18"/>
        </w:rPr>
        <w:t xml:space="preserve"> </w:t>
      </w:r>
      <w:r w:rsidR="00312F69" w:rsidRPr="00BD188C">
        <w:rPr>
          <w:rFonts w:ascii="Times New Roman" w:eastAsia="宋体" w:hAnsi="Times New Roman" w:cs="Times New Roman" w:hint="eastAsia"/>
          <w:sz w:val="18"/>
          <w:szCs w:val="18"/>
        </w:rPr>
        <w:t xml:space="preserve">analyze the changes of </w:t>
      </w:r>
      <w:r w:rsidR="00312F69" w:rsidRPr="00BD188C">
        <w:rPr>
          <w:rFonts w:ascii="Times New Roman" w:eastAsia="宋体" w:hAnsi="Times New Roman" w:cs="Times New Roman"/>
          <w:sz w:val="18"/>
          <w:szCs w:val="18"/>
        </w:rPr>
        <w:t xml:space="preserve">the </w:t>
      </w:r>
      <w:r w:rsidR="00312F69" w:rsidRPr="00BD188C">
        <w:rPr>
          <w:rFonts w:ascii="Times New Roman" w:eastAsia="宋体" w:hAnsi="Times New Roman" w:cs="Times New Roman" w:hint="eastAsia"/>
          <w:sz w:val="18"/>
          <w:szCs w:val="18"/>
        </w:rPr>
        <w:t xml:space="preserve">gene expression regarding </w:t>
      </w:r>
      <w:r w:rsidR="00312F69" w:rsidRPr="00BD188C">
        <w:rPr>
          <w:rFonts w:ascii="Times New Roman" w:eastAsia="宋体" w:hAnsi="Times New Roman" w:cs="Times New Roman"/>
          <w:sz w:val="18"/>
          <w:szCs w:val="18"/>
        </w:rPr>
        <w:t>β-carotene biosynthe</w:t>
      </w:r>
      <w:r w:rsidR="00312F69" w:rsidRPr="00BD188C">
        <w:rPr>
          <w:rFonts w:ascii="Times New Roman" w:eastAsia="宋体" w:hAnsi="Times New Roman" w:cs="Times New Roman" w:hint="eastAsia"/>
          <w:sz w:val="18"/>
          <w:szCs w:val="18"/>
        </w:rPr>
        <w:t>tic</w:t>
      </w:r>
      <w:r w:rsidR="00312F69" w:rsidRPr="00BD188C">
        <w:rPr>
          <w:rFonts w:ascii="Times New Roman" w:eastAsia="宋体" w:hAnsi="Times New Roman" w:cs="Times New Roman"/>
          <w:sz w:val="18"/>
          <w:szCs w:val="18"/>
        </w:rPr>
        <w:t xml:space="preserve"> pathway, Western blot was analyzed the carotenoid enzymes change. [Result]In mature period, the SC9 and BGM019 carotenoid synthesis genes PSY and LYCB up-</w:t>
      </w:r>
      <w:r w:rsidR="00312F69" w:rsidRPr="00BD188C">
        <w:rPr>
          <w:rFonts w:ascii="Times New Roman" w:eastAsia="宋体" w:hAnsi="Times New Roman" w:cs="Times New Roman"/>
          <w:sz w:val="18"/>
          <w:szCs w:val="18"/>
        </w:rPr>
        <w:lastRenderedPageBreak/>
        <w:t>regulated and carotenoid degradation genes CCD1 and NCED3 down-regulated that was the one reason which made the carotenoid accumulation.</w:t>
      </w:r>
      <w:r w:rsidR="00113DDB" w:rsidRPr="00BD188C">
        <w:rPr>
          <w:rFonts w:ascii="Times New Roman" w:eastAsia="宋体" w:hAnsi="Times New Roman" w:cs="Times New Roman"/>
          <w:sz w:val="18"/>
          <w:szCs w:val="18"/>
        </w:rPr>
        <w:t xml:space="preserve"> </w:t>
      </w:r>
      <w:proofErr w:type="spellStart"/>
      <w:r w:rsidR="00113DDB" w:rsidRPr="00BD188C">
        <w:rPr>
          <w:rFonts w:ascii="Times New Roman" w:eastAsia="宋体" w:hAnsi="Times New Roman" w:cs="Times New Roman"/>
          <w:sz w:val="18"/>
          <w:szCs w:val="18"/>
        </w:rPr>
        <w:t>M</w:t>
      </w:r>
      <w:r w:rsidR="00113DDB" w:rsidRPr="00BD188C">
        <w:rPr>
          <w:rFonts w:ascii="Times New Roman" w:eastAsia="宋体" w:hAnsi="Times New Roman" w:cs="Times New Roman" w:hint="eastAsia"/>
          <w:sz w:val="18"/>
          <w:szCs w:val="18"/>
        </w:rPr>
        <w:t>irasol</w:t>
      </w:r>
      <w:proofErr w:type="spellEnd"/>
      <w:r w:rsidR="00113DDB" w:rsidRPr="00BD188C">
        <w:rPr>
          <w:rFonts w:ascii="Times New Roman" w:eastAsia="宋体" w:hAnsi="Times New Roman" w:cs="Times New Roman"/>
          <w:sz w:val="18"/>
          <w:szCs w:val="18"/>
        </w:rPr>
        <w:t xml:space="preserve"> </w:t>
      </w:r>
      <w:r w:rsidR="00113DDB" w:rsidRPr="00BD188C">
        <w:rPr>
          <w:rFonts w:ascii="Times New Roman" w:eastAsia="宋体" w:hAnsi="Times New Roman" w:cs="Times New Roman" w:hint="eastAsia"/>
          <w:sz w:val="18"/>
          <w:szCs w:val="18"/>
        </w:rPr>
        <w:t>caro</w:t>
      </w:r>
      <w:r w:rsidR="00113DDB" w:rsidRPr="00BD188C">
        <w:rPr>
          <w:rFonts w:ascii="Times New Roman" w:eastAsia="宋体" w:hAnsi="Times New Roman" w:cs="Times New Roman"/>
          <w:sz w:val="18"/>
          <w:szCs w:val="18"/>
        </w:rPr>
        <w:t>tenoid synthesis gene LYCB extreme down-regulated was one of the carotenoid content decline. Chaperone protein HSP70 at mature period down-regulated consistent with PDS gene. ROS related enzymes ascorbate peroxidase and glutathione reductase</w:t>
      </w:r>
      <w:r w:rsidR="00CF57DE" w:rsidRPr="00BD188C">
        <w:rPr>
          <w:rFonts w:ascii="Times New Roman" w:eastAsia="宋体" w:hAnsi="Times New Roman" w:cs="Times New Roman"/>
          <w:sz w:val="18"/>
          <w:szCs w:val="18"/>
        </w:rPr>
        <w:t xml:space="preserve"> expression of maturity was higher than expansion period.</w:t>
      </w:r>
      <w:r w:rsidR="00113DDB" w:rsidRPr="00BD188C">
        <w:rPr>
          <w:rFonts w:ascii="Times New Roman" w:eastAsia="宋体" w:hAnsi="Times New Roman" w:cs="Times New Roman"/>
          <w:sz w:val="18"/>
          <w:szCs w:val="18"/>
        </w:rPr>
        <w:t xml:space="preserve"> [Conclusion] </w:t>
      </w:r>
      <w:r w:rsidR="00CF57DE" w:rsidRPr="00BD188C">
        <w:rPr>
          <w:rFonts w:ascii="Times New Roman" w:eastAsia="宋体" w:hAnsi="Times New Roman" w:cs="Times New Roman"/>
          <w:kern w:val="0"/>
          <w:sz w:val="18"/>
          <w:szCs w:val="18"/>
          <w:lang w:val="en"/>
        </w:rPr>
        <w:t>Changes in carotenoid content in different varieties of cassava by both the synthesis and degradation related gene, while the active oxygen related enzymes GR and APX change is also accompanied by changes in carotenoid content.</w:t>
      </w:r>
    </w:p>
    <w:p w:rsidR="0008781B" w:rsidRPr="00744DE4" w:rsidRDefault="00744DE4" w:rsidP="0056452A">
      <w:pPr>
        <w:rPr>
          <w:rFonts w:ascii="Times New Roman" w:hAnsi="Times New Roman" w:cs="Times New Roman"/>
          <w:sz w:val="18"/>
          <w:szCs w:val="18"/>
        </w:rPr>
      </w:pPr>
      <w:r>
        <w:rPr>
          <w:rFonts w:ascii="Times New Roman" w:hAnsi="Times New Roman" w:cs="Times New Roman"/>
          <w:sz w:val="18"/>
          <w:szCs w:val="18"/>
        </w:rPr>
        <w:t>K</w:t>
      </w:r>
      <w:r>
        <w:rPr>
          <w:rFonts w:ascii="Times New Roman" w:hAnsi="Times New Roman" w:cs="Times New Roman" w:hint="eastAsia"/>
          <w:sz w:val="18"/>
          <w:szCs w:val="18"/>
        </w:rPr>
        <w:t>ey</w:t>
      </w:r>
      <w:r>
        <w:rPr>
          <w:rFonts w:ascii="Times New Roman" w:hAnsi="Times New Roman" w:cs="Times New Roman"/>
          <w:sz w:val="18"/>
          <w:szCs w:val="18"/>
        </w:rPr>
        <w:t xml:space="preserve"> words: cassava; carotenoid; </w:t>
      </w:r>
      <w:r w:rsidRPr="00744DE4">
        <w:rPr>
          <w:rStyle w:val="shorttext"/>
          <w:rFonts w:ascii="Times New Roman" w:hAnsi="Times New Roman" w:cs="Times New Roman"/>
          <w:sz w:val="18"/>
          <w:szCs w:val="18"/>
          <w:lang w:val="en"/>
        </w:rPr>
        <w:t>Carotenoid related gene</w:t>
      </w:r>
      <w:r w:rsidRPr="00744DE4">
        <w:rPr>
          <w:rStyle w:val="shorttext"/>
          <w:rFonts w:ascii="Times New Roman" w:hAnsi="Times New Roman" w:cs="Times New Roman"/>
          <w:sz w:val="18"/>
          <w:szCs w:val="18"/>
          <w:lang w:val="en"/>
        </w:rPr>
        <w:t xml:space="preserve">s; ROS related enzymes </w:t>
      </w:r>
    </w:p>
    <w:p w:rsidR="00800918" w:rsidRPr="00BD188C" w:rsidRDefault="00800918" w:rsidP="00BD188C">
      <w:pPr>
        <w:spacing w:line="360" w:lineRule="auto"/>
        <w:rPr>
          <w:rFonts w:ascii="宋体" w:eastAsia="宋体" w:hAnsi="宋体"/>
          <w:szCs w:val="21"/>
        </w:rPr>
      </w:pPr>
      <w:r>
        <w:rPr>
          <w:rFonts w:hint="eastAsia"/>
          <w:sz w:val="28"/>
          <w:szCs w:val="28"/>
        </w:rPr>
        <w:t xml:space="preserve"> </w:t>
      </w:r>
      <w:r w:rsidRPr="00800918">
        <w:rPr>
          <w:rFonts w:hint="eastAsia"/>
          <w:szCs w:val="21"/>
        </w:rPr>
        <w:t xml:space="preserve"> </w:t>
      </w:r>
      <w:r w:rsidRPr="00BD188C">
        <w:rPr>
          <w:rFonts w:ascii="宋体" w:eastAsia="宋体" w:hAnsi="宋体" w:hint="eastAsia"/>
          <w:szCs w:val="21"/>
        </w:rPr>
        <w:t>木薯（</w:t>
      </w:r>
      <w:proofErr w:type="spellStart"/>
      <w:r w:rsidRPr="00BD188C">
        <w:rPr>
          <w:rFonts w:ascii="宋体" w:eastAsia="宋体" w:hAnsi="宋体" w:hint="eastAsia"/>
          <w:i/>
          <w:szCs w:val="21"/>
        </w:rPr>
        <w:t>Manihot</w:t>
      </w:r>
      <w:proofErr w:type="spellEnd"/>
      <w:r w:rsidRPr="00BD188C">
        <w:rPr>
          <w:rFonts w:ascii="宋体" w:eastAsia="宋体" w:hAnsi="宋体"/>
          <w:i/>
          <w:szCs w:val="21"/>
        </w:rPr>
        <w:t xml:space="preserve"> </w:t>
      </w:r>
      <w:proofErr w:type="spellStart"/>
      <w:r w:rsidRPr="00BD188C">
        <w:rPr>
          <w:rFonts w:ascii="宋体" w:eastAsia="宋体" w:hAnsi="宋体" w:hint="eastAsia"/>
          <w:i/>
          <w:szCs w:val="21"/>
        </w:rPr>
        <w:t>esculenta</w:t>
      </w:r>
      <w:proofErr w:type="spellEnd"/>
      <w:r w:rsidRPr="00BD188C">
        <w:rPr>
          <w:rFonts w:ascii="宋体" w:eastAsia="宋体" w:hAnsi="宋体"/>
          <w:szCs w:val="21"/>
        </w:rPr>
        <w:t xml:space="preserve"> </w:t>
      </w:r>
      <w:proofErr w:type="spellStart"/>
      <w:r w:rsidRPr="00BD188C">
        <w:rPr>
          <w:rFonts w:ascii="宋体" w:eastAsia="宋体" w:hAnsi="宋体"/>
          <w:szCs w:val="21"/>
        </w:rPr>
        <w:t>C</w:t>
      </w:r>
      <w:r w:rsidRPr="00BD188C">
        <w:rPr>
          <w:rFonts w:ascii="宋体" w:eastAsia="宋体" w:hAnsi="宋体" w:hint="eastAsia"/>
          <w:szCs w:val="21"/>
        </w:rPr>
        <w:t>rantz</w:t>
      </w:r>
      <w:proofErr w:type="spellEnd"/>
      <w:r w:rsidRPr="00BD188C">
        <w:rPr>
          <w:rFonts w:ascii="宋体" w:eastAsia="宋体" w:hAnsi="宋体" w:hint="eastAsia"/>
          <w:szCs w:val="21"/>
        </w:rPr>
        <w:t>）为大戟科木薯属植物，</w:t>
      </w:r>
      <w:r w:rsidR="00500FDD" w:rsidRPr="00BD188C">
        <w:rPr>
          <w:rFonts w:ascii="宋体" w:eastAsia="宋体" w:hAnsi="宋体" w:hint="eastAsia"/>
          <w:szCs w:val="21"/>
        </w:rPr>
        <w:t>不仅</w:t>
      </w:r>
      <w:r w:rsidRPr="00BD188C">
        <w:rPr>
          <w:rFonts w:ascii="宋体" w:eastAsia="宋体" w:hAnsi="宋体" w:hint="eastAsia"/>
          <w:szCs w:val="21"/>
        </w:rPr>
        <w:t>具有高光效和高淀粉积累特性，而且耐贫瘠和干旱，对环境适应能力强</w:t>
      </w:r>
      <w:r w:rsidR="005E7A2D" w:rsidRPr="00BD188C">
        <w:rPr>
          <w:rFonts w:ascii="宋体" w:eastAsia="宋体" w:hAnsi="宋体" w:hint="eastAsia"/>
          <w:szCs w:val="21"/>
        </w:rPr>
        <w:t>。木薯</w:t>
      </w:r>
      <w:r w:rsidRPr="00BD188C">
        <w:rPr>
          <w:rFonts w:ascii="宋体" w:eastAsia="宋体" w:hAnsi="宋体" w:hint="eastAsia"/>
          <w:szCs w:val="21"/>
        </w:rPr>
        <w:t>与马铃薯和红薯并列世界三大薯类</w:t>
      </w:r>
      <w:r w:rsidR="005E7A2D" w:rsidRPr="00BD188C">
        <w:rPr>
          <w:rFonts w:ascii="宋体" w:eastAsia="宋体" w:hAnsi="宋体" w:hint="eastAsia"/>
          <w:szCs w:val="21"/>
        </w:rPr>
        <w:t>作物</w:t>
      </w:r>
      <w:r w:rsidRPr="00BD188C">
        <w:rPr>
          <w:rFonts w:ascii="宋体" w:eastAsia="宋体" w:hAnsi="宋体" w:hint="eastAsia"/>
          <w:szCs w:val="21"/>
        </w:rPr>
        <w:t>，是世界热区近8亿人的主粮</w:t>
      </w:r>
      <w:r w:rsidRPr="00BD188C">
        <w:rPr>
          <w:rFonts w:ascii="宋体" w:eastAsia="宋体" w:hAnsi="宋体" w:hint="eastAsia"/>
          <w:szCs w:val="21"/>
          <w:vertAlign w:val="superscript"/>
        </w:rPr>
        <w:t>[1</w:t>
      </w:r>
      <w:r w:rsidRPr="00BD188C">
        <w:rPr>
          <w:rFonts w:ascii="宋体" w:eastAsia="宋体" w:hAnsi="宋体"/>
          <w:szCs w:val="21"/>
          <w:vertAlign w:val="superscript"/>
        </w:rPr>
        <w:t>-3]</w:t>
      </w:r>
      <w:r w:rsidRPr="00BD188C">
        <w:rPr>
          <w:rFonts w:ascii="宋体" w:eastAsia="宋体" w:hAnsi="宋体" w:hint="eastAsia"/>
          <w:szCs w:val="21"/>
        </w:rPr>
        <w:t>。然而普通</w:t>
      </w:r>
      <w:r w:rsidR="005E7A2D" w:rsidRPr="00BD188C">
        <w:rPr>
          <w:rFonts w:ascii="宋体" w:eastAsia="宋体" w:hAnsi="宋体" w:hint="eastAsia"/>
          <w:szCs w:val="21"/>
        </w:rPr>
        <w:t>栽培</w:t>
      </w:r>
      <w:r w:rsidRPr="00BD188C">
        <w:rPr>
          <w:rFonts w:ascii="宋体" w:eastAsia="宋体" w:hAnsi="宋体" w:hint="eastAsia"/>
          <w:szCs w:val="21"/>
        </w:rPr>
        <w:t>木薯品种类胡萝卜素含量较低，长期食用</w:t>
      </w:r>
      <w:r w:rsidR="009B3406" w:rsidRPr="00BD188C">
        <w:rPr>
          <w:rFonts w:ascii="宋体" w:eastAsia="宋体" w:hAnsi="宋体" w:hint="eastAsia"/>
          <w:szCs w:val="21"/>
        </w:rPr>
        <w:t>会引起视力下降，夜盲症、干眼病等症状。</w:t>
      </w:r>
      <w:r w:rsidR="005E7A2D" w:rsidRPr="00BD188C">
        <w:rPr>
          <w:rFonts w:ascii="宋体" w:eastAsia="宋体" w:hAnsi="宋体" w:hint="eastAsia"/>
          <w:szCs w:val="21"/>
        </w:rPr>
        <w:t>因此，选育高类胡萝卜素</w:t>
      </w:r>
      <w:r w:rsidR="009E15B3" w:rsidRPr="00BD188C">
        <w:rPr>
          <w:rFonts w:ascii="宋体" w:eastAsia="宋体" w:hAnsi="宋体" w:hint="eastAsia"/>
          <w:szCs w:val="21"/>
        </w:rPr>
        <w:t>含量木薯品种，成为育种学家关注的焦点。</w:t>
      </w:r>
    </w:p>
    <w:p w:rsidR="009B3406" w:rsidRPr="00BD188C" w:rsidRDefault="009B3406" w:rsidP="00BD188C">
      <w:pPr>
        <w:spacing w:line="360" w:lineRule="auto"/>
        <w:rPr>
          <w:rFonts w:ascii="宋体" w:eastAsia="宋体" w:hAnsi="宋体"/>
          <w:szCs w:val="21"/>
        </w:rPr>
      </w:pPr>
      <w:r w:rsidRPr="00BD188C">
        <w:rPr>
          <w:rFonts w:ascii="宋体" w:eastAsia="宋体" w:hAnsi="宋体" w:hint="eastAsia"/>
          <w:szCs w:val="21"/>
        </w:rPr>
        <w:t xml:space="preserve">  前人研究表明，类胡萝卜素合成的直接前体为</w:t>
      </w:r>
      <w:proofErr w:type="gramStart"/>
      <w:r w:rsidRPr="00BD188C">
        <w:rPr>
          <w:rFonts w:ascii="宋体" w:eastAsia="宋体" w:hAnsi="宋体" w:hint="eastAsia"/>
          <w:szCs w:val="21"/>
        </w:rPr>
        <w:t>牻</w:t>
      </w:r>
      <w:proofErr w:type="gramEnd"/>
      <w:r w:rsidRPr="00BD188C">
        <w:rPr>
          <w:rFonts w:ascii="宋体" w:eastAsia="宋体" w:hAnsi="宋体" w:hint="eastAsia"/>
          <w:szCs w:val="21"/>
        </w:rPr>
        <w:t>牛儿基</w:t>
      </w:r>
      <w:proofErr w:type="gramStart"/>
      <w:r w:rsidRPr="00BD188C">
        <w:rPr>
          <w:rFonts w:ascii="宋体" w:eastAsia="宋体" w:hAnsi="宋体" w:hint="eastAsia"/>
          <w:szCs w:val="21"/>
        </w:rPr>
        <w:t>牻</w:t>
      </w:r>
      <w:proofErr w:type="gramEnd"/>
      <w:r w:rsidRPr="00BD188C">
        <w:rPr>
          <w:rFonts w:ascii="宋体" w:eastAsia="宋体" w:hAnsi="宋体" w:hint="eastAsia"/>
          <w:szCs w:val="21"/>
        </w:rPr>
        <w:t>牛儿基焦磷酸(GGPP)，来源于质体中</w:t>
      </w:r>
      <w:r w:rsidR="00221E3E" w:rsidRPr="00BD188C">
        <w:rPr>
          <w:rFonts w:ascii="宋体" w:eastAsia="宋体" w:hAnsi="宋体"/>
          <w:szCs w:val="21"/>
        </w:rPr>
        <w:t>2–C–甲基–D–</w:t>
      </w:r>
      <w:proofErr w:type="gramStart"/>
      <w:r w:rsidR="00221E3E" w:rsidRPr="00BD188C">
        <w:rPr>
          <w:rFonts w:ascii="宋体" w:eastAsia="宋体" w:hAnsi="宋体"/>
          <w:szCs w:val="21"/>
        </w:rPr>
        <w:t>赤</w:t>
      </w:r>
      <w:proofErr w:type="gramEnd"/>
      <w:r w:rsidR="00221E3E" w:rsidRPr="00BD188C">
        <w:rPr>
          <w:rFonts w:ascii="宋体" w:eastAsia="宋体" w:hAnsi="宋体"/>
          <w:szCs w:val="21"/>
        </w:rPr>
        <w:t>藓醇–4–磷酸</w:t>
      </w:r>
      <w:r w:rsidRPr="00BD188C">
        <w:rPr>
          <w:rFonts w:ascii="宋体" w:eastAsia="宋体" w:hAnsi="宋体" w:hint="eastAsia"/>
          <w:szCs w:val="21"/>
        </w:rPr>
        <w:t>(MEP</w:t>
      </w:r>
      <w:r w:rsidRPr="00BD188C">
        <w:rPr>
          <w:rFonts w:ascii="宋体" w:eastAsia="宋体" w:hAnsi="宋体"/>
          <w:szCs w:val="21"/>
        </w:rPr>
        <w:t>)</w:t>
      </w:r>
      <w:r w:rsidR="00221E3E" w:rsidRPr="00BD188C">
        <w:rPr>
          <w:rFonts w:ascii="宋体" w:eastAsia="宋体" w:hAnsi="宋体" w:hint="eastAsia"/>
          <w:szCs w:val="21"/>
        </w:rPr>
        <w:t>途径</w:t>
      </w:r>
      <w:r w:rsidRPr="00BD188C">
        <w:rPr>
          <w:rFonts w:ascii="宋体" w:eastAsia="宋体" w:hAnsi="宋体" w:hint="eastAsia"/>
          <w:szCs w:val="21"/>
        </w:rPr>
        <w:t>合成的异戊烯二磷酸(IPP)。</w:t>
      </w:r>
      <w:r w:rsidR="00221E3E" w:rsidRPr="00BD188C">
        <w:rPr>
          <w:rFonts w:ascii="宋体" w:eastAsia="宋体" w:hAnsi="宋体"/>
          <w:szCs w:val="21"/>
        </w:rPr>
        <w:t>1–脱氧–D–木酮糖–5–磷酸还原异构酶</w:t>
      </w:r>
      <w:r w:rsidR="00221E3E" w:rsidRPr="00BD188C">
        <w:rPr>
          <w:rFonts w:ascii="宋体" w:eastAsia="宋体" w:hAnsi="宋体" w:hint="eastAsia"/>
          <w:szCs w:val="21"/>
        </w:rPr>
        <w:t xml:space="preserve"> (</w:t>
      </w:r>
      <w:r w:rsidR="00DB2495" w:rsidRPr="00BD188C">
        <w:rPr>
          <w:rFonts w:ascii="宋体" w:eastAsia="宋体" w:hAnsi="宋体" w:hint="eastAsia"/>
          <w:szCs w:val="21"/>
        </w:rPr>
        <w:t>DXS</w:t>
      </w:r>
      <w:r w:rsidR="00221E3E" w:rsidRPr="00BD188C">
        <w:rPr>
          <w:rFonts w:ascii="宋体" w:eastAsia="宋体" w:hAnsi="宋体" w:hint="eastAsia"/>
          <w:szCs w:val="21"/>
        </w:rPr>
        <w:t>)</w:t>
      </w:r>
      <w:r w:rsidR="00DB2495" w:rsidRPr="00BD188C">
        <w:rPr>
          <w:rFonts w:ascii="宋体" w:eastAsia="宋体" w:hAnsi="宋体" w:hint="eastAsia"/>
          <w:szCs w:val="21"/>
        </w:rPr>
        <w:t>是MEP途径第一个催化酶，最开始</w:t>
      </w:r>
      <w:proofErr w:type="gramStart"/>
      <w:r w:rsidR="00DB2495" w:rsidRPr="00BD188C">
        <w:rPr>
          <w:rFonts w:ascii="宋体" w:eastAsia="宋体" w:hAnsi="宋体" w:hint="eastAsia"/>
          <w:szCs w:val="21"/>
        </w:rPr>
        <w:t>由拟南芥</w:t>
      </w:r>
      <w:proofErr w:type="gramEnd"/>
      <w:r w:rsidR="00DB2495" w:rsidRPr="00BD188C">
        <w:rPr>
          <w:rFonts w:ascii="宋体" w:eastAsia="宋体" w:hAnsi="宋体"/>
          <w:i/>
          <w:szCs w:val="21"/>
        </w:rPr>
        <w:t>cla-1</w:t>
      </w:r>
      <w:r w:rsidR="00DB2495" w:rsidRPr="00BD188C">
        <w:rPr>
          <w:rFonts w:ascii="宋体" w:eastAsia="宋体" w:hAnsi="宋体" w:hint="eastAsia"/>
          <w:szCs w:val="21"/>
        </w:rPr>
        <w:t>突变体分离获得，</w:t>
      </w:r>
      <w:r w:rsidR="00221E3E" w:rsidRPr="00BD188C">
        <w:rPr>
          <w:rFonts w:ascii="宋体" w:eastAsia="宋体" w:hAnsi="宋体" w:hint="eastAsia"/>
          <w:szCs w:val="21"/>
        </w:rPr>
        <w:t>该突变体</w:t>
      </w:r>
      <w:r w:rsidR="00DB2495" w:rsidRPr="00BD188C">
        <w:rPr>
          <w:rFonts w:ascii="宋体" w:eastAsia="宋体" w:hAnsi="宋体" w:hint="eastAsia"/>
          <w:szCs w:val="21"/>
        </w:rPr>
        <w:t>最显著特征是不能积累类胡萝卜素和叶绿素而表现白化特征</w:t>
      </w:r>
      <w:r w:rsidR="00DB2495" w:rsidRPr="00BD188C">
        <w:rPr>
          <w:rFonts w:ascii="宋体" w:eastAsia="宋体" w:hAnsi="宋体" w:hint="eastAsia"/>
          <w:szCs w:val="21"/>
          <w:vertAlign w:val="superscript"/>
        </w:rPr>
        <w:t>【4】</w:t>
      </w:r>
      <w:r w:rsidR="00DB2495" w:rsidRPr="00BD188C">
        <w:rPr>
          <w:rFonts w:ascii="宋体" w:eastAsia="宋体" w:hAnsi="宋体" w:hint="eastAsia"/>
          <w:szCs w:val="21"/>
        </w:rPr>
        <w:t>。而</w:t>
      </w:r>
      <w:r w:rsidR="00221E3E" w:rsidRPr="00BD188C">
        <w:rPr>
          <w:rFonts w:ascii="宋体" w:eastAsia="宋体" w:hAnsi="宋体"/>
          <w:szCs w:val="21"/>
        </w:rPr>
        <w:t>1–脱氧–D–木酮糖–5–磷酸合成酶</w:t>
      </w:r>
      <w:r w:rsidR="00221E3E" w:rsidRPr="00BD188C">
        <w:rPr>
          <w:rFonts w:ascii="宋体" w:eastAsia="宋体" w:hAnsi="宋体" w:hint="eastAsia"/>
          <w:szCs w:val="21"/>
        </w:rPr>
        <w:t>（</w:t>
      </w:r>
      <w:r w:rsidR="00DB2495" w:rsidRPr="00BD188C">
        <w:rPr>
          <w:rFonts w:ascii="宋体" w:eastAsia="宋体" w:hAnsi="宋体" w:hint="eastAsia"/>
          <w:szCs w:val="21"/>
        </w:rPr>
        <w:t>DXR</w:t>
      </w:r>
      <w:r w:rsidR="00221E3E" w:rsidRPr="00BD188C">
        <w:rPr>
          <w:rFonts w:ascii="宋体" w:eastAsia="宋体" w:hAnsi="宋体" w:hint="eastAsia"/>
          <w:szCs w:val="21"/>
        </w:rPr>
        <w:t>）是MEP第二步催化酶，</w:t>
      </w:r>
      <w:r w:rsidR="00A50E5A" w:rsidRPr="00BD188C">
        <w:rPr>
          <w:rFonts w:ascii="宋体" w:eastAsia="宋体" w:hAnsi="宋体" w:hint="eastAsia"/>
          <w:szCs w:val="21"/>
        </w:rPr>
        <w:t>DXR</w:t>
      </w:r>
      <w:r w:rsidR="00DB2495" w:rsidRPr="00BD188C">
        <w:rPr>
          <w:rFonts w:ascii="宋体" w:eastAsia="宋体" w:hAnsi="宋体" w:hint="eastAsia"/>
          <w:szCs w:val="21"/>
        </w:rPr>
        <w:t>的特异抑制剂处理番茄可以完全抑制幼苗发育但对果实成熟没有影响</w:t>
      </w:r>
      <w:r w:rsidR="00DB2495" w:rsidRPr="00BD188C">
        <w:rPr>
          <w:rFonts w:ascii="宋体" w:eastAsia="宋体" w:hAnsi="宋体" w:hint="eastAsia"/>
          <w:szCs w:val="21"/>
          <w:vertAlign w:val="superscript"/>
        </w:rPr>
        <w:t>【5】</w:t>
      </w:r>
      <w:r w:rsidR="00DB2495" w:rsidRPr="00BD188C">
        <w:rPr>
          <w:rFonts w:ascii="宋体" w:eastAsia="宋体" w:hAnsi="宋体" w:hint="eastAsia"/>
          <w:szCs w:val="21"/>
        </w:rPr>
        <w:t>。</w:t>
      </w:r>
      <w:r w:rsidR="00800A58" w:rsidRPr="00BD188C">
        <w:rPr>
          <w:rFonts w:ascii="宋体" w:eastAsia="宋体" w:hAnsi="宋体" w:hint="eastAsia"/>
          <w:szCs w:val="21"/>
        </w:rPr>
        <w:t>转基因实验表明，</w:t>
      </w:r>
      <w:proofErr w:type="gramStart"/>
      <w:r w:rsidR="00800A58" w:rsidRPr="00BD188C">
        <w:rPr>
          <w:rFonts w:ascii="宋体" w:eastAsia="宋体" w:hAnsi="宋体" w:hint="eastAsia"/>
          <w:szCs w:val="21"/>
        </w:rPr>
        <w:t>超表达</w:t>
      </w:r>
      <w:proofErr w:type="gramEnd"/>
      <w:r w:rsidR="00800A58" w:rsidRPr="00BD188C">
        <w:rPr>
          <w:rFonts w:ascii="宋体" w:eastAsia="宋体" w:hAnsi="宋体" w:hint="eastAsia"/>
          <w:szCs w:val="21"/>
        </w:rPr>
        <w:t>DXS和DXR能够提高拟南</w:t>
      </w:r>
      <w:proofErr w:type="gramStart"/>
      <w:r w:rsidR="00800A58" w:rsidRPr="00BD188C">
        <w:rPr>
          <w:rFonts w:ascii="宋体" w:eastAsia="宋体" w:hAnsi="宋体" w:hint="eastAsia"/>
          <w:szCs w:val="21"/>
        </w:rPr>
        <w:t>芥</w:t>
      </w:r>
      <w:proofErr w:type="gramEnd"/>
      <w:r w:rsidR="00800A58" w:rsidRPr="00BD188C">
        <w:rPr>
          <w:rFonts w:ascii="宋体" w:eastAsia="宋体" w:hAnsi="宋体" w:hint="eastAsia"/>
          <w:szCs w:val="21"/>
        </w:rPr>
        <w:t>种子类胡萝卜素含量12%，而干涉DXS将降低13%的类胡萝卜素。</w:t>
      </w:r>
    </w:p>
    <w:p w:rsidR="00800A58" w:rsidRPr="00BD188C" w:rsidRDefault="00800A58" w:rsidP="00BD188C">
      <w:pPr>
        <w:spacing w:line="360" w:lineRule="auto"/>
        <w:rPr>
          <w:rFonts w:ascii="宋体" w:eastAsia="宋体" w:hAnsi="宋体"/>
          <w:szCs w:val="21"/>
        </w:rPr>
      </w:pPr>
      <w:r w:rsidRPr="00BD188C">
        <w:rPr>
          <w:rFonts w:ascii="宋体" w:eastAsia="宋体" w:hAnsi="宋体" w:hint="eastAsia"/>
          <w:szCs w:val="21"/>
        </w:rPr>
        <w:t xml:space="preserve">  </w:t>
      </w:r>
      <w:proofErr w:type="gramStart"/>
      <w:r w:rsidR="00110B6A" w:rsidRPr="00BD188C">
        <w:rPr>
          <w:rFonts w:ascii="宋体" w:eastAsia="宋体" w:hAnsi="宋体" w:hint="eastAsia"/>
          <w:szCs w:val="21"/>
        </w:rPr>
        <w:t>八氢番茄红素</w:t>
      </w:r>
      <w:proofErr w:type="gramEnd"/>
      <w:r w:rsidR="00110B6A" w:rsidRPr="00BD188C">
        <w:rPr>
          <w:rFonts w:ascii="宋体" w:eastAsia="宋体" w:hAnsi="宋体" w:hint="eastAsia"/>
          <w:szCs w:val="21"/>
        </w:rPr>
        <w:t>合成酶（PSY</w:t>
      </w:r>
      <w:r w:rsidR="00110B6A" w:rsidRPr="00BD188C">
        <w:rPr>
          <w:rFonts w:ascii="宋体" w:eastAsia="宋体" w:hAnsi="宋体"/>
          <w:szCs w:val="21"/>
        </w:rPr>
        <w:t>）</w:t>
      </w:r>
      <w:r w:rsidR="00110B6A" w:rsidRPr="00BD188C">
        <w:rPr>
          <w:rFonts w:ascii="宋体" w:eastAsia="宋体" w:hAnsi="宋体" w:hint="eastAsia"/>
          <w:szCs w:val="21"/>
        </w:rPr>
        <w:t>催化GGPP形成无色</w:t>
      </w:r>
      <w:proofErr w:type="gramStart"/>
      <w:r w:rsidR="00110B6A" w:rsidRPr="00BD188C">
        <w:rPr>
          <w:rFonts w:ascii="宋体" w:eastAsia="宋体" w:hAnsi="宋体" w:hint="eastAsia"/>
          <w:szCs w:val="21"/>
        </w:rPr>
        <w:t>的八氢番茄红素</w:t>
      </w:r>
      <w:proofErr w:type="gramEnd"/>
      <w:r w:rsidR="00110B6A" w:rsidRPr="00BD188C">
        <w:rPr>
          <w:rFonts w:ascii="宋体" w:eastAsia="宋体" w:hAnsi="宋体" w:hint="eastAsia"/>
          <w:szCs w:val="21"/>
        </w:rPr>
        <w:t>，是类胡萝卜素合成途径关键限速酶</w:t>
      </w:r>
      <w:r w:rsidR="00110B6A" w:rsidRPr="00BD188C">
        <w:rPr>
          <w:rFonts w:ascii="宋体" w:eastAsia="宋体" w:hAnsi="宋体" w:hint="eastAsia"/>
          <w:szCs w:val="21"/>
          <w:vertAlign w:val="superscript"/>
        </w:rPr>
        <w:t>【</w:t>
      </w:r>
      <w:r w:rsidR="009B2B42" w:rsidRPr="00BD188C">
        <w:rPr>
          <w:rFonts w:ascii="宋体" w:eastAsia="宋体" w:hAnsi="宋体" w:hint="eastAsia"/>
          <w:szCs w:val="21"/>
          <w:vertAlign w:val="superscript"/>
        </w:rPr>
        <w:t>6</w:t>
      </w:r>
      <w:r w:rsidR="00110B6A" w:rsidRPr="00BD188C">
        <w:rPr>
          <w:rFonts w:ascii="宋体" w:eastAsia="宋体" w:hAnsi="宋体" w:hint="eastAsia"/>
          <w:szCs w:val="21"/>
          <w:vertAlign w:val="superscript"/>
        </w:rPr>
        <w:t>】</w:t>
      </w:r>
      <w:r w:rsidR="00110B6A" w:rsidRPr="00BD188C">
        <w:rPr>
          <w:rFonts w:ascii="宋体" w:eastAsia="宋体" w:hAnsi="宋体" w:hint="eastAsia"/>
          <w:szCs w:val="21"/>
        </w:rPr>
        <w:t>。木薯中存在3个</w:t>
      </w:r>
      <w:r w:rsidR="00110B6A" w:rsidRPr="00BD188C">
        <w:rPr>
          <w:rFonts w:ascii="宋体" w:eastAsia="宋体" w:hAnsi="宋体" w:hint="eastAsia"/>
          <w:i/>
          <w:szCs w:val="21"/>
        </w:rPr>
        <w:t>PSY</w:t>
      </w:r>
      <w:r w:rsidR="00110B6A" w:rsidRPr="00BD188C">
        <w:rPr>
          <w:rFonts w:ascii="宋体" w:eastAsia="宋体" w:hAnsi="宋体" w:hint="eastAsia"/>
          <w:szCs w:val="21"/>
        </w:rPr>
        <w:t>基因，其中</w:t>
      </w:r>
      <w:r w:rsidR="00110B6A" w:rsidRPr="00BD188C">
        <w:rPr>
          <w:rFonts w:ascii="宋体" w:eastAsia="宋体" w:hAnsi="宋体" w:hint="eastAsia"/>
          <w:i/>
          <w:szCs w:val="21"/>
        </w:rPr>
        <w:t>PSY1</w:t>
      </w:r>
      <w:r w:rsidR="00110B6A" w:rsidRPr="00BD188C">
        <w:rPr>
          <w:rFonts w:ascii="宋体" w:eastAsia="宋体" w:hAnsi="宋体" w:hint="eastAsia"/>
          <w:szCs w:val="21"/>
        </w:rPr>
        <w:t>和</w:t>
      </w:r>
      <w:r w:rsidR="00110B6A" w:rsidRPr="00BD188C">
        <w:rPr>
          <w:rFonts w:ascii="宋体" w:eastAsia="宋体" w:hAnsi="宋体"/>
          <w:i/>
          <w:szCs w:val="21"/>
        </w:rPr>
        <w:t>PSY2</w:t>
      </w:r>
      <w:r w:rsidR="00110B6A" w:rsidRPr="00BD188C">
        <w:rPr>
          <w:rFonts w:ascii="宋体" w:eastAsia="宋体" w:hAnsi="宋体" w:hint="eastAsia"/>
          <w:szCs w:val="21"/>
        </w:rPr>
        <w:t>在组织中有表达，而</w:t>
      </w:r>
      <w:r w:rsidR="00110B6A" w:rsidRPr="00BD188C">
        <w:rPr>
          <w:rFonts w:ascii="宋体" w:eastAsia="宋体" w:hAnsi="宋体" w:hint="eastAsia"/>
          <w:i/>
          <w:szCs w:val="21"/>
        </w:rPr>
        <w:t>PSY3</w:t>
      </w:r>
      <w:r w:rsidR="00110B6A" w:rsidRPr="00BD188C">
        <w:rPr>
          <w:rFonts w:ascii="宋体" w:eastAsia="宋体" w:hAnsi="宋体" w:hint="eastAsia"/>
          <w:szCs w:val="21"/>
        </w:rPr>
        <w:t>几乎不表达</w:t>
      </w:r>
      <w:r w:rsidR="00110B6A" w:rsidRPr="00BD188C">
        <w:rPr>
          <w:rFonts w:ascii="宋体" w:eastAsia="宋体" w:hAnsi="宋体" w:hint="eastAsia"/>
          <w:szCs w:val="21"/>
          <w:vertAlign w:val="superscript"/>
        </w:rPr>
        <w:t>【</w:t>
      </w:r>
      <w:r w:rsidR="009B2B42" w:rsidRPr="00BD188C">
        <w:rPr>
          <w:rFonts w:ascii="宋体" w:eastAsia="宋体" w:hAnsi="宋体" w:hint="eastAsia"/>
          <w:szCs w:val="21"/>
          <w:vertAlign w:val="superscript"/>
        </w:rPr>
        <w:t>7</w:t>
      </w:r>
      <w:r w:rsidR="00110B6A" w:rsidRPr="00BD188C">
        <w:rPr>
          <w:rFonts w:ascii="宋体" w:eastAsia="宋体" w:hAnsi="宋体" w:hint="eastAsia"/>
          <w:szCs w:val="21"/>
          <w:vertAlign w:val="superscript"/>
        </w:rPr>
        <w:t>】</w:t>
      </w:r>
      <w:r w:rsidR="00110B6A" w:rsidRPr="00BD188C">
        <w:rPr>
          <w:rFonts w:ascii="宋体" w:eastAsia="宋体" w:hAnsi="宋体" w:hint="eastAsia"/>
          <w:szCs w:val="21"/>
        </w:rPr>
        <w:t>。</w:t>
      </w:r>
      <w:proofErr w:type="gramStart"/>
      <w:r w:rsidR="00110B6A" w:rsidRPr="00BD188C">
        <w:rPr>
          <w:rFonts w:ascii="宋体" w:eastAsia="宋体" w:hAnsi="宋体" w:hint="eastAsia"/>
          <w:szCs w:val="21"/>
        </w:rPr>
        <w:t>而八氢番茄红素</w:t>
      </w:r>
      <w:proofErr w:type="gramEnd"/>
      <w:r w:rsidR="00110B6A" w:rsidRPr="00BD188C">
        <w:rPr>
          <w:rFonts w:ascii="宋体" w:eastAsia="宋体" w:hAnsi="宋体" w:hint="eastAsia"/>
          <w:szCs w:val="21"/>
        </w:rPr>
        <w:t>的脱氢反应是由去饱和酶（</w:t>
      </w:r>
      <w:r w:rsidR="00110B6A" w:rsidRPr="00BD188C">
        <w:rPr>
          <w:rFonts w:ascii="宋体" w:eastAsia="宋体" w:hAnsi="宋体"/>
          <w:szCs w:val="21"/>
        </w:rPr>
        <w:t>PDS）</w:t>
      </w:r>
      <w:r w:rsidR="00110B6A" w:rsidRPr="00BD188C">
        <w:rPr>
          <w:rFonts w:ascii="宋体" w:eastAsia="宋体" w:hAnsi="宋体" w:hint="eastAsia"/>
          <w:szCs w:val="21"/>
        </w:rPr>
        <w:t>和</w:t>
      </w:r>
      <w:r w:rsidR="00110B6A" w:rsidRPr="00BD188C">
        <w:rPr>
          <w:rFonts w:ascii="宋体" w:eastAsia="宋体" w:hAnsi="宋体"/>
          <w:szCs w:val="21"/>
        </w:rPr>
        <w:t>ζ</w:t>
      </w:r>
      <w:r w:rsidR="00110B6A" w:rsidRPr="00BD188C">
        <w:rPr>
          <w:rFonts w:ascii="宋体" w:eastAsia="宋体" w:hAnsi="宋体" w:hint="eastAsia"/>
          <w:szCs w:val="21"/>
        </w:rPr>
        <w:t>-胡萝卜素去饱和酶（ZDS</w:t>
      </w:r>
      <w:r w:rsidR="00110B6A" w:rsidRPr="00BD188C">
        <w:rPr>
          <w:rFonts w:ascii="宋体" w:eastAsia="宋体" w:hAnsi="宋体"/>
          <w:szCs w:val="21"/>
        </w:rPr>
        <w:t>）</w:t>
      </w:r>
      <w:r w:rsidR="00110B6A" w:rsidRPr="00BD188C">
        <w:rPr>
          <w:rFonts w:ascii="宋体" w:eastAsia="宋体" w:hAnsi="宋体" w:hint="eastAsia"/>
          <w:szCs w:val="21"/>
        </w:rPr>
        <w:t>作用形成。它们参与线状类胡萝卜素的合成，同时也是类胡萝卜素合成中重要的限速酶</w:t>
      </w:r>
      <w:r w:rsidR="00110B6A" w:rsidRPr="00BD188C">
        <w:rPr>
          <w:rFonts w:ascii="宋体" w:eastAsia="宋体" w:hAnsi="宋体" w:hint="eastAsia"/>
          <w:szCs w:val="21"/>
          <w:vertAlign w:val="superscript"/>
        </w:rPr>
        <w:t>【</w:t>
      </w:r>
      <w:r w:rsidR="009B2B42" w:rsidRPr="00BD188C">
        <w:rPr>
          <w:rFonts w:ascii="宋体" w:eastAsia="宋体" w:hAnsi="宋体" w:hint="eastAsia"/>
          <w:szCs w:val="21"/>
          <w:vertAlign w:val="superscript"/>
        </w:rPr>
        <w:t>8</w:t>
      </w:r>
      <w:r w:rsidR="00110B6A" w:rsidRPr="00BD188C">
        <w:rPr>
          <w:rFonts w:ascii="宋体" w:eastAsia="宋体" w:hAnsi="宋体" w:hint="eastAsia"/>
          <w:szCs w:val="21"/>
          <w:vertAlign w:val="superscript"/>
        </w:rPr>
        <w:t>】</w:t>
      </w:r>
      <w:r w:rsidR="00110B6A" w:rsidRPr="00BD188C">
        <w:rPr>
          <w:rFonts w:ascii="宋体" w:eastAsia="宋体" w:hAnsi="宋体" w:hint="eastAsia"/>
          <w:szCs w:val="21"/>
        </w:rPr>
        <w:t>。</w:t>
      </w:r>
      <w:r w:rsidR="00DB2495" w:rsidRPr="00BD188C">
        <w:rPr>
          <w:rFonts w:ascii="宋体" w:eastAsia="宋体" w:hAnsi="宋体" w:hint="eastAsia"/>
          <w:szCs w:val="21"/>
        </w:rPr>
        <w:t>番茄红素环化是类胡萝卜素代谢中一个主要的分支点，</w:t>
      </w:r>
      <w:r w:rsidR="002D335B" w:rsidRPr="00BD188C">
        <w:rPr>
          <w:rFonts w:ascii="宋体" w:eastAsia="宋体" w:hAnsi="宋体" w:hint="eastAsia"/>
          <w:szCs w:val="21"/>
        </w:rPr>
        <w:t>植物中存在两条支流（LYCB和LYCE</w:t>
      </w:r>
      <w:r w:rsidR="002D335B" w:rsidRPr="00BD188C">
        <w:rPr>
          <w:rFonts w:ascii="宋体" w:eastAsia="宋体" w:hAnsi="宋体"/>
          <w:szCs w:val="21"/>
        </w:rPr>
        <w:t>）</w:t>
      </w:r>
      <w:r w:rsidR="002D335B" w:rsidRPr="00BD188C">
        <w:rPr>
          <w:rFonts w:ascii="宋体" w:eastAsia="宋体" w:hAnsi="宋体" w:hint="eastAsia"/>
          <w:szCs w:val="21"/>
        </w:rPr>
        <w:t>控制着番茄红素向下转化，使类胡萝卜素合成途径中出现β和ε两分支。在β分支中，番茄红素分子的两端被LYCB环化形成β-胡萝卜素；在ε路径中，番茄红素经LYCB和LYCE环化后形成</w:t>
      </w:r>
      <w:r w:rsidR="002D335B" w:rsidRPr="00BD188C">
        <w:rPr>
          <w:rFonts w:ascii="宋体" w:eastAsia="宋体" w:hAnsi="宋体" w:hint="eastAsia"/>
          <w:szCs w:val="21"/>
        </w:rPr>
        <w:sym w:font="Symbol" w:char="F061"/>
      </w:r>
      <w:r w:rsidR="002D335B" w:rsidRPr="00BD188C">
        <w:rPr>
          <w:rFonts w:ascii="宋体" w:eastAsia="宋体" w:hAnsi="宋体" w:hint="eastAsia"/>
          <w:szCs w:val="21"/>
        </w:rPr>
        <w:t>-胡萝卜素。通过氨基酸序列比对</w:t>
      </w:r>
      <w:r w:rsidR="00A50E5A" w:rsidRPr="00BD188C">
        <w:rPr>
          <w:rFonts w:ascii="宋体" w:eastAsia="宋体" w:hAnsi="宋体" w:hint="eastAsia"/>
          <w:szCs w:val="21"/>
        </w:rPr>
        <w:t>推测</w:t>
      </w:r>
      <w:r w:rsidR="002D335B" w:rsidRPr="00BD188C">
        <w:rPr>
          <w:rFonts w:ascii="宋体" w:eastAsia="宋体" w:hAnsi="宋体" w:hint="eastAsia"/>
          <w:szCs w:val="21"/>
        </w:rPr>
        <w:t>，</w:t>
      </w:r>
      <w:r w:rsidR="002D335B" w:rsidRPr="00BD188C">
        <w:rPr>
          <w:rFonts w:ascii="宋体" w:eastAsia="宋体" w:hAnsi="宋体"/>
          <w:szCs w:val="21"/>
        </w:rPr>
        <w:t>LYCB</w:t>
      </w:r>
      <w:r w:rsidR="002D335B" w:rsidRPr="00BD188C">
        <w:rPr>
          <w:rFonts w:ascii="宋体" w:eastAsia="宋体" w:hAnsi="宋体" w:hint="eastAsia"/>
          <w:szCs w:val="21"/>
        </w:rPr>
        <w:t>和</w:t>
      </w:r>
      <w:r w:rsidR="002D335B" w:rsidRPr="00BD188C">
        <w:rPr>
          <w:rFonts w:ascii="宋体" w:eastAsia="宋体" w:hAnsi="宋体"/>
          <w:szCs w:val="21"/>
        </w:rPr>
        <w:t>LYCE</w:t>
      </w:r>
      <w:r w:rsidR="002D335B" w:rsidRPr="00BD188C">
        <w:rPr>
          <w:rFonts w:ascii="宋体" w:eastAsia="宋体" w:hAnsi="宋体" w:hint="eastAsia"/>
          <w:szCs w:val="21"/>
        </w:rPr>
        <w:t>可能有共同的起源</w:t>
      </w:r>
      <w:r w:rsidR="009B2B42" w:rsidRPr="00BD188C">
        <w:rPr>
          <w:rFonts w:ascii="宋体" w:eastAsia="宋体" w:hAnsi="宋体" w:hint="eastAsia"/>
          <w:szCs w:val="21"/>
          <w:vertAlign w:val="superscript"/>
        </w:rPr>
        <w:t>[9</w:t>
      </w:r>
      <w:r w:rsidR="002D335B" w:rsidRPr="00BD188C">
        <w:rPr>
          <w:rFonts w:ascii="宋体" w:eastAsia="宋体" w:hAnsi="宋体" w:hint="eastAsia"/>
          <w:szCs w:val="21"/>
          <w:vertAlign w:val="superscript"/>
        </w:rPr>
        <w:t>]</w:t>
      </w:r>
      <w:r w:rsidR="002D335B" w:rsidRPr="00BD188C">
        <w:rPr>
          <w:rFonts w:ascii="宋体" w:eastAsia="宋体" w:hAnsi="宋体" w:hint="eastAsia"/>
          <w:szCs w:val="21"/>
        </w:rPr>
        <w:t>。在非血红素铁加氧酶类羟化酶（HYD</w:t>
      </w:r>
      <w:r w:rsidR="002D335B" w:rsidRPr="00BD188C">
        <w:rPr>
          <w:rFonts w:ascii="宋体" w:eastAsia="宋体" w:hAnsi="宋体"/>
          <w:szCs w:val="21"/>
        </w:rPr>
        <w:t>）</w:t>
      </w:r>
      <w:r w:rsidR="002D335B" w:rsidRPr="00BD188C">
        <w:rPr>
          <w:rFonts w:ascii="宋体" w:eastAsia="宋体" w:hAnsi="宋体" w:hint="eastAsia"/>
          <w:szCs w:val="21"/>
        </w:rPr>
        <w:t>的作用下，环化后的类胡萝卜素形成β</w:t>
      </w:r>
      <w:r w:rsidR="00A50E5A" w:rsidRPr="00BD188C">
        <w:rPr>
          <w:rFonts w:ascii="宋体" w:eastAsia="宋体" w:hAnsi="宋体" w:hint="eastAsia"/>
          <w:szCs w:val="21"/>
        </w:rPr>
        <w:t>，</w:t>
      </w:r>
      <w:r w:rsidR="002D335B" w:rsidRPr="00BD188C">
        <w:rPr>
          <w:rFonts w:ascii="宋体" w:eastAsia="宋体" w:hAnsi="宋体" w:hint="eastAsia"/>
          <w:szCs w:val="21"/>
        </w:rPr>
        <w:t>β类胡萝卜素。而该酶定位在质体膜及类囊体膜上</w:t>
      </w:r>
      <w:r w:rsidR="009B2B42" w:rsidRPr="00BD188C">
        <w:rPr>
          <w:rFonts w:ascii="宋体" w:eastAsia="宋体" w:hAnsi="宋体" w:hint="eastAsia"/>
          <w:szCs w:val="21"/>
          <w:vertAlign w:val="superscript"/>
        </w:rPr>
        <w:t>[10</w:t>
      </w:r>
      <w:r w:rsidR="002D335B" w:rsidRPr="00BD188C">
        <w:rPr>
          <w:rFonts w:ascii="宋体" w:eastAsia="宋体" w:hAnsi="宋体" w:hint="eastAsia"/>
          <w:szCs w:val="21"/>
          <w:vertAlign w:val="superscript"/>
        </w:rPr>
        <w:t>]</w:t>
      </w:r>
      <w:r w:rsidR="002D335B" w:rsidRPr="00BD188C">
        <w:rPr>
          <w:rFonts w:ascii="宋体" w:eastAsia="宋体" w:hAnsi="宋体" w:hint="eastAsia"/>
          <w:szCs w:val="21"/>
        </w:rPr>
        <w:t>。在β路径中，经羟化反应后β-类胡萝卜素形成玉米黄</w:t>
      </w:r>
      <w:r w:rsidR="002D335B" w:rsidRPr="00BD188C">
        <w:rPr>
          <w:rFonts w:ascii="宋体" w:eastAsia="宋体" w:hAnsi="宋体" w:hint="eastAsia"/>
          <w:szCs w:val="21"/>
        </w:rPr>
        <w:lastRenderedPageBreak/>
        <w:t>素，并在环氧酶（ZEP</w:t>
      </w:r>
      <w:r w:rsidR="002D335B" w:rsidRPr="00BD188C">
        <w:rPr>
          <w:rFonts w:ascii="宋体" w:eastAsia="宋体" w:hAnsi="宋体"/>
          <w:szCs w:val="21"/>
        </w:rPr>
        <w:t>）</w:t>
      </w:r>
      <w:r w:rsidR="002D335B" w:rsidRPr="00BD188C">
        <w:rPr>
          <w:rFonts w:ascii="宋体" w:eastAsia="宋体" w:hAnsi="宋体" w:hint="eastAsia"/>
          <w:szCs w:val="21"/>
        </w:rPr>
        <w:t>的作用下生成紫黄质。</w:t>
      </w:r>
    </w:p>
    <w:p w:rsidR="003B501A" w:rsidRPr="00BD188C" w:rsidRDefault="003B501A" w:rsidP="00BD188C">
      <w:pPr>
        <w:spacing w:line="360" w:lineRule="auto"/>
        <w:rPr>
          <w:rFonts w:ascii="宋体" w:eastAsia="宋体" w:hAnsi="宋体"/>
          <w:szCs w:val="21"/>
        </w:rPr>
      </w:pPr>
      <w:r w:rsidRPr="00BD188C">
        <w:rPr>
          <w:rFonts w:ascii="宋体" w:eastAsia="宋体" w:hAnsi="宋体" w:hint="eastAsia"/>
          <w:szCs w:val="21"/>
        </w:rPr>
        <w:t xml:space="preserve">  在植物中，</w:t>
      </w:r>
      <w:r w:rsidR="00292BAB" w:rsidRPr="00BD188C">
        <w:rPr>
          <w:rFonts w:ascii="宋体" w:eastAsia="宋体" w:hAnsi="宋体" w:hint="eastAsia"/>
          <w:szCs w:val="21"/>
        </w:rPr>
        <w:t>有两条主要的类胡萝卜素的裂解途径，分别为类胡萝卜素双加氧酶</w:t>
      </w:r>
      <w:r w:rsidR="00BD7A2B" w:rsidRPr="00BD188C">
        <w:rPr>
          <w:rFonts w:ascii="宋体" w:eastAsia="宋体" w:hAnsi="宋体" w:hint="eastAsia"/>
          <w:szCs w:val="21"/>
        </w:rPr>
        <w:t>(</w:t>
      </w:r>
      <w:r w:rsidR="00292BAB" w:rsidRPr="00BD188C">
        <w:rPr>
          <w:rFonts w:ascii="宋体" w:eastAsia="宋体" w:hAnsi="宋体" w:hint="eastAsia"/>
          <w:szCs w:val="21"/>
        </w:rPr>
        <w:t>CCDs</w:t>
      </w:r>
      <w:r w:rsidR="00BD7A2B" w:rsidRPr="00BD188C">
        <w:rPr>
          <w:rFonts w:ascii="宋体" w:eastAsia="宋体" w:hAnsi="宋体" w:hint="eastAsia"/>
          <w:szCs w:val="21"/>
        </w:rPr>
        <w:t>)</w:t>
      </w:r>
      <w:r w:rsidR="00292BAB" w:rsidRPr="00BD188C">
        <w:rPr>
          <w:rFonts w:ascii="宋体" w:eastAsia="宋体" w:hAnsi="宋体" w:hint="eastAsia"/>
          <w:szCs w:val="21"/>
        </w:rPr>
        <w:t>和</w:t>
      </w:r>
      <w:r w:rsidR="00BD7A2B" w:rsidRPr="00BD188C">
        <w:rPr>
          <w:rFonts w:ascii="宋体" w:eastAsia="宋体" w:hAnsi="宋体" w:hint="eastAsia"/>
          <w:szCs w:val="21"/>
        </w:rPr>
        <w:t>9-顺式-环氧类胡萝卜素双加氧酶(</w:t>
      </w:r>
      <w:r w:rsidR="00292BAB" w:rsidRPr="00BD188C">
        <w:rPr>
          <w:rFonts w:ascii="宋体" w:eastAsia="宋体" w:hAnsi="宋体" w:hint="eastAsia"/>
          <w:szCs w:val="21"/>
        </w:rPr>
        <w:t>NCEDs</w:t>
      </w:r>
      <w:r w:rsidR="00BD7A2B" w:rsidRPr="00BD188C">
        <w:rPr>
          <w:rFonts w:ascii="宋体" w:eastAsia="宋体" w:hAnsi="宋体" w:hint="eastAsia"/>
          <w:szCs w:val="21"/>
        </w:rPr>
        <w:t>)</w:t>
      </w:r>
      <w:r w:rsidR="00292BAB" w:rsidRPr="00BD188C">
        <w:rPr>
          <w:rFonts w:ascii="宋体" w:eastAsia="宋体" w:hAnsi="宋体" w:hint="eastAsia"/>
          <w:szCs w:val="21"/>
        </w:rPr>
        <w:t>共同作用完成。拟南</w:t>
      </w:r>
      <w:proofErr w:type="gramStart"/>
      <w:r w:rsidR="00292BAB" w:rsidRPr="00BD188C">
        <w:rPr>
          <w:rFonts w:ascii="宋体" w:eastAsia="宋体" w:hAnsi="宋体" w:hint="eastAsia"/>
          <w:szCs w:val="21"/>
        </w:rPr>
        <w:t>芥</w:t>
      </w:r>
      <w:proofErr w:type="gramEnd"/>
      <w:r w:rsidR="00292BAB" w:rsidRPr="00BD188C">
        <w:rPr>
          <w:rFonts w:ascii="宋体" w:eastAsia="宋体" w:hAnsi="宋体"/>
          <w:i/>
          <w:szCs w:val="21"/>
        </w:rPr>
        <w:t>CCD1</w:t>
      </w:r>
      <w:r w:rsidR="00292BAB" w:rsidRPr="00BD188C">
        <w:rPr>
          <w:rFonts w:ascii="宋体" w:eastAsia="宋体" w:hAnsi="宋体" w:hint="eastAsia"/>
          <w:szCs w:val="21"/>
        </w:rPr>
        <w:t>缺陷型突变体种子的类胡萝卜素含量增加，说明CCD1</w:t>
      </w:r>
      <w:r w:rsidRPr="00BD188C">
        <w:rPr>
          <w:rFonts w:ascii="宋体" w:eastAsia="宋体" w:hAnsi="宋体" w:hint="eastAsia"/>
          <w:szCs w:val="21"/>
        </w:rPr>
        <w:t>可以催化类胡萝卜素</w:t>
      </w:r>
      <w:r w:rsidR="00BD7A2B" w:rsidRPr="00BD188C">
        <w:rPr>
          <w:rFonts w:ascii="宋体" w:eastAsia="宋体" w:hAnsi="宋体" w:hint="eastAsia"/>
          <w:szCs w:val="21"/>
        </w:rPr>
        <w:t>的裂解作用</w:t>
      </w:r>
      <w:r w:rsidR="00292BAB" w:rsidRPr="00BD188C">
        <w:rPr>
          <w:rFonts w:ascii="宋体" w:eastAsia="宋体" w:hAnsi="宋体" w:hint="eastAsia"/>
          <w:szCs w:val="21"/>
          <w:vertAlign w:val="superscript"/>
        </w:rPr>
        <w:t xml:space="preserve"> </w:t>
      </w:r>
      <w:r w:rsidR="009B2B42" w:rsidRPr="00BD188C">
        <w:rPr>
          <w:rFonts w:ascii="宋体" w:eastAsia="宋体" w:hAnsi="宋体" w:hint="eastAsia"/>
          <w:szCs w:val="21"/>
          <w:vertAlign w:val="superscript"/>
        </w:rPr>
        <w:t>[11</w:t>
      </w:r>
      <w:r w:rsidRPr="00BD188C">
        <w:rPr>
          <w:rFonts w:ascii="宋体" w:eastAsia="宋体" w:hAnsi="宋体" w:hint="eastAsia"/>
          <w:szCs w:val="21"/>
          <w:vertAlign w:val="superscript"/>
        </w:rPr>
        <w:t>]</w:t>
      </w:r>
      <w:r w:rsidRPr="00BD188C">
        <w:rPr>
          <w:rFonts w:ascii="宋体" w:eastAsia="宋体" w:hAnsi="宋体" w:hint="eastAsia"/>
          <w:szCs w:val="21"/>
        </w:rPr>
        <w:t>。NCED催化紫黄质或新黄质裂解形成ABA的前体C</w:t>
      </w:r>
      <w:r w:rsidRPr="00BD188C">
        <w:rPr>
          <w:rFonts w:ascii="宋体" w:eastAsia="宋体" w:hAnsi="宋体" w:hint="eastAsia"/>
          <w:szCs w:val="21"/>
          <w:vertAlign w:val="subscript"/>
        </w:rPr>
        <w:t>15</w:t>
      </w:r>
      <w:r w:rsidRPr="00BD188C">
        <w:rPr>
          <w:rFonts w:ascii="宋体" w:eastAsia="宋体" w:hAnsi="宋体" w:hint="eastAsia"/>
          <w:szCs w:val="21"/>
        </w:rPr>
        <w:t>黄素质，是调控类胡萝卜素向ABA转化的限速酶</w:t>
      </w:r>
      <w:r w:rsidRPr="00BD188C">
        <w:rPr>
          <w:rFonts w:ascii="宋体" w:eastAsia="宋体" w:hAnsi="宋体" w:hint="eastAsia"/>
          <w:szCs w:val="21"/>
          <w:vertAlign w:val="superscript"/>
        </w:rPr>
        <w:t>【</w:t>
      </w:r>
      <w:r w:rsidR="009B2B42" w:rsidRPr="00BD188C">
        <w:rPr>
          <w:rFonts w:ascii="宋体" w:eastAsia="宋体" w:hAnsi="宋体" w:hint="eastAsia"/>
          <w:szCs w:val="21"/>
          <w:vertAlign w:val="superscript"/>
        </w:rPr>
        <w:t>12</w:t>
      </w:r>
      <w:r w:rsidRPr="00BD188C">
        <w:rPr>
          <w:rFonts w:ascii="宋体" w:eastAsia="宋体" w:hAnsi="宋体" w:hint="eastAsia"/>
          <w:szCs w:val="21"/>
          <w:vertAlign w:val="superscript"/>
        </w:rPr>
        <w:t>】</w:t>
      </w:r>
      <w:r w:rsidRPr="00BD188C">
        <w:rPr>
          <w:rFonts w:ascii="宋体" w:eastAsia="宋体" w:hAnsi="宋体" w:hint="eastAsia"/>
          <w:szCs w:val="21"/>
        </w:rPr>
        <w:t>。</w:t>
      </w:r>
    </w:p>
    <w:p w:rsidR="003B501A" w:rsidRPr="00BD188C" w:rsidRDefault="003B501A" w:rsidP="00BD188C">
      <w:pPr>
        <w:spacing w:line="360" w:lineRule="auto"/>
        <w:rPr>
          <w:rFonts w:ascii="宋体" w:eastAsia="宋体" w:hAnsi="宋体"/>
          <w:szCs w:val="21"/>
        </w:rPr>
      </w:pPr>
      <w:r>
        <w:rPr>
          <w:rFonts w:eastAsiaTheme="minorHAnsi" w:hint="eastAsia"/>
          <w:sz w:val="28"/>
          <w:szCs w:val="28"/>
        </w:rPr>
        <w:t xml:space="preserve">  </w:t>
      </w:r>
      <w:r w:rsidRPr="00BD188C">
        <w:rPr>
          <w:rFonts w:ascii="宋体" w:eastAsia="宋体" w:hAnsi="宋体" w:hint="eastAsia"/>
          <w:szCs w:val="21"/>
        </w:rPr>
        <w:t>在烟草蜜腺细胞中的有色体是由淀粉体发育而来的</w:t>
      </w:r>
      <w:r w:rsidRPr="00BD188C">
        <w:rPr>
          <w:rFonts w:ascii="宋体" w:eastAsia="宋体" w:hAnsi="宋体" w:hint="eastAsia"/>
          <w:szCs w:val="21"/>
          <w:vertAlign w:val="superscript"/>
        </w:rPr>
        <w:t>【</w:t>
      </w:r>
      <w:r w:rsidR="009B2B42" w:rsidRPr="00BD188C">
        <w:rPr>
          <w:rFonts w:ascii="宋体" w:eastAsia="宋体" w:hAnsi="宋体" w:hint="eastAsia"/>
          <w:szCs w:val="21"/>
          <w:vertAlign w:val="superscript"/>
        </w:rPr>
        <w:t>13</w:t>
      </w:r>
      <w:r w:rsidRPr="00BD188C">
        <w:rPr>
          <w:rFonts w:ascii="宋体" w:eastAsia="宋体" w:hAnsi="宋体"/>
          <w:szCs w:val="21"/>
          <w:vertAlign w:val="superscript"/>
        </w:rPr>
        <w:t>】</w:t>
      </w:r>
      <w:r w:rsidRPr="00BD188C">
        <w:rPr>
          <w:rFonts w:ascii="宋体" w:eastAsia="宋体" w:hAnsi="宋体" w:hint="eastAsia"/>
          <w:szCs w:val="21"/>
        </w:rPr>
        <w:t>。转化过程中最显著的变化为淀粉逐渐消失，类胡萝卜素积累结构</w:t>
      </w:r>
      <w:r w:rsidR="00CA7083" w:rsidRPr="00BD188C">
        <w:rPr>
          <w:rFonts w:ascii="宋体" w:eastAsia="宋体" w:hAnsi="宋体" w:hint="eastAsia"/>
          <w:szCs w:val="21"/>
        </w:rPr>
        <w:t>有色体逐渐形成。有色体的发育往往受到一些关键调控因子的影响。</w:t>
      </w:r>
      <w:r w:rsidR="00CA7083" w:rsidRPr="00BD188C">
        <w:rPr>
          <w:rFonts w:ascii="宋体" w:eastAsia="宋体" w:hAnsi="宋体" w:hint="eastAsia"/>
          <w:i/>
          <w:szCs w:val="21"/>
        </w:rPr>
        <w:t>OR</w:t>
      </w:r>
      <w:r w:rsidR="00CA7083" w:rsidRPr="00BD188C">
        <w:rPr>
          <w:rFonts w:ascii="宋体" w:eastAsia="宋体" w:hAnsi="宋体" w:hint="eastAsia"/>
          <w:szCs w:val="21"/>
        </w:rPr>
        <w:t>是一个功能获得性基因，它导致花椰菜菜头出现橙色变异；研究表明</w:t>
      </w:r>
      <w:r w:rsidR="00CA7083" w:rsidRPr="00BD188C">
        <w:rPr>
          <w:rFonts w:ascii="宋体" w:eastAsia="宋体" w:hAnsi="宋体" w:hint="eastAsia"/>
          <w:i/>
          <w:szCs w:val="21"/>
        </w:rPr>
        <w:t>OR</w:t>
      </w:r>
      <w:r w:rsidR="00CA7083" w:rsidRPr="00BD188C">
        <w:rPr>
          <w:rFonts w:ascii="宋体" w:eastAsia="宋体" w:hAnsi="宋体" w:hint="eastAsia"/>
          <w:szCs w:val="21"/>
        </w:rPr>
        <w:t>可以控制非有色质体向有色体的转变</w:t>
      </w:r>
      <w:r w:rsidR="00CA7083" w:rsidRPr="00BD188C">
        <w:rPr>
          <w:rFonts w:ascii="宋体" w:eastAsia="宋体" w:hAnsi="宋体" w:hint="eastAsia"/>
          <w:szCs w:val="21"/>
          <w:vertAlign w:val="superscript"/>
        </w:rPr>
        <w:t>【</w:t>
      </w:r>
      <w:r w:rsidR="002E6A81" w:rsidRPr="00BD188C">
        <w:rPr>
          <w:rFonts w:ascii="宋体" w:eastAsia="宋体" w:hAnsi="宋体" w:hint="eastAsia"/>
          <w:szCs w:val="21"/>
          <w:vertAlign w:val="superscript"/>
        </w:rPr>
        <w:t>14</w:t>
      </w:r>
      <w:r w:rsidR="00CA7083" w:rsidRPr="00BD188C">
        <w:rPr>
          <w:rFonts w:ascii="宋体" w:eastAsia="宋体" w:hAnsi="宋体" w:hint="eastAsia"/>
          <w:szCs w:val="21"/>
          <w:vertAlign w:val="superscript"/>
        </w:rPr>
        <w:t>】</w:t>
      </w:r>
      <w:r w:rsidR="00CA7083" w:rsidRPr="00BD188C">
        <w:rPr>
          <w:rFonts w:ascii="宋体" w:eastAsia="宋体" w:hAnsi="宋体" w:hint="eastAsia"/>
          <w:szCs w:val="21"/>
        </w:rPr>
        <w:t>。</w:t>
      </w:r>
      <w:r w:rsidR="00161AB8" w:rsidRPr="00BD188C">
        <w:rPr>
          <w:rFonts w:ascii="宋体" w:eastAsia="宋体" w:hAnsi="宋体" w:hint="eastAsia"/>
          <w:szCs w:val="21"/>
        </w:rPr>
        <w:t>分子伴侣是一系列热激蛋白，其参与蛋白质的折叠和去折叠，组装和去组装</w:t>
      </w:r>
      <w:r w:rsidR="00161AB8" w:rsidRPr="00BD188C">
        <w:rPr>
          <w:rFonts w:ascii="宋体" w:eastAsia="宋体" w:hAnsi="宋体" w:hint="eastAsia"/>
          <w:szCs w:val="21"/>
          <w:vertAlign w:val="superscript"/>
        </w:rPr>
        <w:t>【15,16】</w:t>
      </w:r>
      <w:r w:rsidR="00161AB8" w:rsidRPr="00BD188C">
        <w:rPr>
          <w:rFonts w:ascii="宋体" w:eastAsia="宋体" w:hAnsi="宋体" w:hint="eastAsia"/>
          <w:szCs w:val="21"/>
        </w:rPr>
        <w:t>。分子伴侣在质体的形成中至关重要，其中HSP90和HSP70在细胞质中含量最丰富，并招募其他前体蛋白转运到质体中</w:t>
      </w:r>
      <w:r w:rsidR="00D64B52" w:rsidRPr="00BD188C">
        <w:rPr>
          <w:rFonts w:ascii="宋体" w:eastAsia="宋体" w:hAnsi="宋体" w:hint="eastAsia"/>
          <w:szCs w:val="21"/>
        </w:rPr>
        <w:t>，并在质体发生和转化扮演重要的作用</w:t>
      </w:r>
      <w:r w:rsidR="00161AB8" w:rsidRPr="00BD188C">
        <w:rPr>
          <w:rFonts w:ascii="宋体" w:eastAsia="宋体" w:hAnsi="宋体" w:hint="eastAsia"/>
          <w:szCs w:val="21"/>
          <w:vertAlign w:val="superscript"/>
        </w:rPr>
        <w:t>[17]</w:t>
      </w:r>
      <w:r w:rsidR="00161AB8" w:rsidRPr="00BD188C">
        <w:rPr>
          <w:rFonts w:ascii="宋体" w:eastAsia="宋体" w:hAnsi="宋体" w:hint="eastAsia"/>
          <w:szCs w:val="21"/>
        </w:rPr>
        <w:t>。果实成熟的一个特征就是产生活性氧。一些研究发现活性氧作为一个中心因子参与细胞中复杂的信号网络，并作为一个特殊的信号分子参与其中</w:t>
      </w:r>
      <w:r w:rsidR="00161AB8" w:rsidRPr="00BD188C">
        <w:rPr>
          <w:rFonts w:ascii="宋体" w:eastAsia="宋体" w:hAnsi="宋体" w:hint="eastAsia"/>
          <w:szCs w:val="21"/>
          <w:vertAlign w:val="superscript"/>
        </w:rPr>
        <w:t>【18】</w:t>
      </w:r>
      <w:r w:rsidR="00161AB8" w:rsidRPr="00BD188C">
        <w:rPr>
          <w:rFonts w:ascii="宋体" w:eastAsia="宋体" w:hAnsi="宋体" w:hint="eastAsia"/>
          <w:szCs w:val="21"/>
        </w:rPr>
        <w:t>。质体产生活性氧并作为第二信使参与一系列的级联反应，并诱导有色体特殊类胡萝卜素基因在有色体分化中的表达。活性氧稳态的维持需要细胞内的过氧化物酶。细胞内的一些酶参与了氧化还原水平的维持，例如抗坏血酸过氧化物酶、谷胱甘肽还原酶、谷胱甘肽过氧化物酶和超氧化物歧化酶，并且这些高度富集与有色体中</w:t>
      </w:r>
      <w:r w:rsidR="00161AB8" w:rsidRPr="00BD188C">
        <w:rPr>
          <w:rFonts w:ascii="宋体" w:eastAsia="宋体" w:hAnsi="宋体" w:hint="eastAsia"/>
          <w:szCs w:val="21"/>
          <w:vertAlign w:val="superscript"/>
        </w:rPr>
        <w:t>【19，20】</w:t>
      </w:r>
      <w:r w:rsidR="00161AB8" w:rsidRPr="00BD188C">
        <w:rPr>
          <w:rFonts w:ascii="宋体" w:eastAsia="宋体" w:hAnsi="宋体" w:hint="eastAsia"/>
          <w:szCs w:val="21"/>
        </w:rPr>
        <w:t>。</w:t>
      </w:r>
    </w:p>
    <w:p w:rsidR="00721D15" w:rsidRPr="00BD188C" w:rsidRDefault="00BD188C" w:rsidP="00721D15">
      <w:pPr>
        <w:ind w:firstLineChars="1700" w:firstLine="3570"/>
        <w:rPr>
          <w:rFonts w:ascii="宋体" w:eastAsia="宋体" w:hAnsi="宋体"/>
          <w:szCs w:val="21"/>
        </w:rPr>
      </w:pPr>
      <w:r>
        <w:object w:dxaOrig="3157" w:dyaOrig="88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57.5pt;height:444.75pt" o:ole="">
            <v:imagedata r:id="rId8" o:title=""/>
          </v:shape>
          <o:OLEObject Type="Embed" ProgID="Visio.Drawing.15" ShapeID="_x0000_i1028" DrawAspect="Content" ObjectID="_1529354393" r:id="rId9"/>
        </w:object>
      </w:r>
    </w:p>
    <w:p w:rsidR="00974626" w:rsidRPr="00BC560D" w:rsidRDefault="00974626" w:rsidP="00BC560D">
      <w:pPr>
        <w:ind w:firstLineChars="1587" w:firstLine="2380"/>
        <w:jc w:val="center"/>
        <w:rPr>
          <w:rFonts w:ascii="宋体" w:eastAsia="宋体" w:hAnsi="宋体"/>
          <w:sz w:val="15"/>
          <w:szCs w:val="15"/>
        </w:rPr>
      </w:pPr>
      <w:r w:rsidRPr="00BC560D">
        <w:rPr>
          <w:rFonts w:ascii="宋体" w:eastAsia="宋体" w:hAnsi="宋体" w:hint="eastAsia"/>
          <w:sz w:val="15"/>
          <w:szCs w:val="15"/>
        </w:rPr>
        <w:t>图</w:t>
      </w:r>
      <w:r w:rsidR="002A551A" w:rsidRPr="00BC560D">
        <w:rPr>
          <w:rFonts w:ascii="宋体" w:eastAsia="宋体" w:hAnsi="宋体" w:hint="eastAsia"/>
          <w:sz w:val="15"/>
          <w:szCs w:val="15"/>
        </w:rPr>
        <w:t>1</w:t>
      </w:r>
      <w:r w:rsidRPr="00BC560D">
        <w:rPr>
          <w:rFonts w:ascii="宋体" w:eastAsia="宋体" w:hAnsi="宋体" w:hint="eastAsia"/>
          <w:sz w:val="15"/>
          <w:szCs w:val="15"/>
        </w:rPr>
        <w:t>：植物类胡萝卜素合成途径</w:t>
      </w:r>
    </w:p>
    <w:p w:rsidR="00E90401" w:rsidRPr="00BC560D" w:rsidRDefault="00BC560D" w:rsidP="00BC560D">
      <w:pPr>
        <w:jc w:val="center"/>
        <w:rPr>
          <w:rFonts w:ascii="宋体" w:eastAsia="宋体" w:hAnsi="宋体"/>
          <w:szCs w:val="21"/>
        </w:rPr>
      </w:pPr>
      <w:r>
        <w:rPr>
          <w:rFonts w:ascii="宋体" w:eastAsia="宋体" w:hAnsi="宋体"/>
          <w:szCs w:val="21"/>
        </w:rPr>
        <w:t xml:space="preserve"> </w:t>
      </w:r>
    </w:p>
    <w:p w:rsidR="00B23CA5" w:rsidRDefault="00B23CA5" w:rsidP="00BD188C">
      <w:pPr>
        <w:spacing w:line="360" w:lineRule="auto"/>
      </w:pPr>
      <w:r w:rsidRPr="00BD188C">
        <w:rPr>
          <w:rFonts w:ascii="宋体" w:eastAsia="宋体" w:hAnsi="宋体" w:hint="eastAsia"/>
          <w:szCs w:val="21"/>
        </w:rPr>
        <w:t xml:space="preserve">  本研究</w:t>
      </w:r>
      <w:r w:rsidR="00DE70FF" w:rsidRPr="00BD188C">
        <w:rPr>
          <w:rFonts w:ascii="宋体" w:eastAsia="宋体" w:hAnsi="宋体" w:hint="eastAsia"/>
          <w:szCs w:val="21"/>
        </w:rPr>
        <w:t>通过分析</w:t>
      </w:r>
      <w:r w:rsidRPr="00BD188C">
        <w:rPr>
          <w:rFonts w:ascii="宋体" w:eastAsia="宋体" w:hAnsi="宋体" w:hint="eastAsia"/>
          <w:szCs w:val="21"/>
        </w:rPr>
        <w:t>四个</w:t>
      </w:r>
      <w:r w:rsidR="00161AB8" w:rsidRPr="00BD188C">
        <w:rPr>
          <w:rFonts w:ascii="宋体" w:eastAsia="宋体" w:hAnsi="宋体" w:hint="eastAsia"/>
          <w:szCs w:val="21"/>
        </w:rPr>
        <w:t>不同木薯</w:t>
      </w:r>
      <w:r w:rsidRPr="00BD188C">
        <w:rPr>
          <w:rFonts w:ascii="宋体" w:eastAsia="宋体" w:hAnsi="宋体" w:hint="eastAsia"/>
          <w:szCs w:val="21"/>
        </w:rPr>
        <w:t>品种</w:t>
      </w:r>
      <w:r w:rsidR="00161AB8" w:rsidRPr="00BD188C">
        <w:rPr>
          <w:rFonts w:ascii="宋体" w:eastAsia="宋体" w:hAnsi="宋体" w:hint="eastAsia"/>
          <w:szCs w:val="21"/>
        </w:rPr>
        <w:t>（系）</w:t>
      </w:r>
      <w:r w:rsidRPr="00BD188C">
        <w:rPr>
          <w:rFonts w:ascii="宋体" w:eastAsia="宋体" w:hAnsi="宋体" w:hint="eastAsia"/>
          <w:szCs w:val="21"/>
        </w:rPr>
        <w:t>块根在</w:t>
      </w:r>
      <w:r w:rsidR="00161AB8" w:rsidRPr="00BD188C">
        <w:rPr>
          <w:rFonts w:ascii="宋体" w:eastAsia="宋体" w:hAnsi="宋体" w:hint="eastAsia"/>
          <w:szCs w:val="21"/>
        </w:rPr>
        <w:t>膨大期和成熟期β-类胡萝卜素含量的变化，</w:t>
      </w:r>
      <w:r w:rsidR="00DE70FF" w:rsidRPr="00BD188C">
        <w:rPr>
          <w:rFonts w:ascii="宋体" w:eastAsia="宋体" w:hAnsi="宋体" w:hint="eastAsia"/>
          <w:szCs w:val="21"/>
        </w:rPr>
        <w:t>研究</w:t>
      </w:r>
      <w:r w:rsidRPr="00BD188C">
        <w:rPr>
          <w:rFonts w:ascii="宋体" w:eastAsia="宋体" w:hAnsi="宋体" w:hint="eastAsia"/>
          <w:szCs w:val="21"/>
        </w:rPr>
        <w:t>类胡萝卜素合成途径相关基因及酶</w:t>
      </w:r>
      <w:r w:rsidR="00161AB8" w:rsidRPr="00BD188C">
        <w:rPr>
          <w:rFonts w:ascii="宋体" w:eastAsia="宋体" w:hAnsi="宋体" w:hint="eastAsia"/>
          <w:szCs w:val="21"/>
        </w:rPr>
        <w:t>的</w:t>
      </w:r>
      <w:r w:rsidRPr="00BD188C">
        <w:rPr>
          <w:rFonts w:ascii="宋体" w:eastAsia="宋体" w:hAnsi="宋体" w:hint="eastAsia"/>
          <w:szCs w:val="21"/>
        </w:rPr>
        <w:t>表达水平变化结合</w:t>
      </w:r>
      <w:r w:rsidR="008D7AB3" w:rsidRPr="00BD188C">
        <w:rPr>
          <w:rFonts w:ascii="宋体" w:eastAsia="宋体" w:hAnsi="宋体" w:hint="eastAsia"/>
          <w:szCs w:val="21"/>
        </w:rPr>
        <w:t>为今后</w:t>
      </w:r>
      <w:r w:rsidR="00DE70FF" w:rsidRPr="00BD188C">
        <w:rPr>
          <w:rFonts w:ascii="宋体" w:eastAsia="宋体" w:hAnsi="宋体" w:hint="eastAsia"/>
          <w:szCs w:val="21"/>
        </w:rPr>
        <w:t>选育高</w:t>
      </w:r>
      <w:r w:rsidR="00BC0720" w:rsidRPr="00BD188C">
        <w:rPr>
          <w:rFonts w:ascii="宋体" w:eastAsia="宋体" w:hAnsi="宋体" w:hint="eastAsia"/>
          <w:szCs w:val="21"/>
        </w:rPr>
        <w:t>类胡萝卜素</w:t>
      </w:r>
      <w:r w:rsidR="00DE70FF" w:rsidRPr="00BD188C">
        <w:rPr>
          <w:rFonts w:ascii="宋体" w:eastAsia="宋体" w:hAnsi="宋体" w:hint="eastAsia"/>
          <w:szCs w:val="21"/>
        </w:rPr>
        <w:t>含量木薯新品种</w:t>
      </w:r>
      <w:r w:rsidR="008D7AB3" w:rsidRPr="00BD188C">
        <w:rPr>
          <w:rFonts w:ascii="宋体" w:eastAsia="宋体" w:hAnsi="宋体" w:hint="eastAsia"/>
          <w:szCs w:val="21"/>
        </w:rPr>
        <w:t>提供科学依据</w:t>
      </w:r>
      <w:r w:rsidR="008D7AB3">
        <w:rPr>
          <w:rFonts w:eastAsiaTheme="minorHAnsi" w:hint="eastAsia"/>
          <w:sz w:val="28"/>
          <w:szCs w:val="28"/>
        </w:rPr>
        <w:t>。</w:t>
      </w:r>
      <w:r w:rsidR="00FE3AFA">
        <w:rPr>
          <w:rFonts w:eastAsiaTheme="minorHAnsi" w:hint="eastAsia"/>
          <w:sz w:val="28"/>
          <w:szCs w:val="28"/>
        </w:rPr>
        <w:t xml:space="preserve"> </w:t>
      </w:r>
      <w:r w:rsidR="00FE3AFA">
        <w:rPr>
          <w:rFonts w:eastAsiaTheme="minorHAnsi"/>
          <w:sz w:val="28"/>
          <w:szCs w:val="28"/>
        </w:rPr>
        <w:t xml:space="preserve">      </w:t>
      </w:r>
    </w:p>
    <w:p w:rsidR="004A2284" w:rsidRDefault="004A2284" w:rsidP="00BD188C">
      <w:pPr>
        <w:spacing w:line="360" w:lineRule="auto"/>
        <w:ind w:firstLineChars="1400" w:firstLine="3920"/>
        <w:rPr>
          <w:rFonts w:eastAsiaTheme="minorHAnsi"/>
          <w:sz w:val="28"/>
          <w:szCs w:val="28"/>
        </w:rPr>
      </w:pPr>
    </w:p>
    <w:p w:rsidR="008D7AB3" w:rsidRPr="00BD188C" w:rsidRDefault="008D7AB3" w:rsidP="00BD188C">
      <w:pPr>
        <w:spacing w:line="360" w:lineRule="auto"/>
        <w:rPr>
          <w:rFonts w:ascii="黑体" w:eastAsia="黑体" w:hAnsi="黑体"/>
          <w:sz w:val="28"/>
          <w:szCs w:val="28"/>
        </w:rPr>
      </w:pPr>
      <w:r w:rsidRPr="00BD188C">
        <w:rPr>
          <w:rFonts w:ascii="黑体" w:eastAsia="黑体" w:hAnsi="黑体" w:hint="eastAsia"/>
          <w:sz w:val="28"/>
          <w:szCs w:val="28"/>
        </w:rPr>
        <w:t>1</w:t>
      </w:r>
      <w:r w:rsidRPr="00BD188C">
        <w:rPr>
          <w:rFonts w:ascii="黑体" w:eastAsia="黑体" w:hAnsi="黑体"/>
          <w:sz w:val="28"/>
          <w:szCs w:val="28"/>
        </w:rPr>
        <w:t xml:space="preserve"> </w:t>
      </w:r>
      <w:r w:rsidRPr="00BD188C">
        <w:rPr>
          <w:rFonts w:ascii="黑体" w:eastAsia="黑体" w:hAnsi="黑体" w:hint="eastAsia"/>
          <w:sz w:val="28"/>
          <w:szCs w:val="28"/>
        </w:rPr>
        <w:t>材料与方法</w:t>
      </w:r>
    </w:p>
    <w:p w:rsidR="008D7AB3" w:rsidRPr="00BD188C" w:rsidRDefault="008D7AB3" w:rsidP="00BD188C">
      <w:pPr>
        <w:pStyle w:val="a3"/>
        <w:numPr>
          <w:ilvl w:val="1"/>
          <w:numId w:val="1"/>
        </w:numPr>
        <w:spacing w:line="360" w:lineRule="auto"/>
        <w:ind w:firstLineChars="0"/>
        <w:rPr>
          <w:rFonts w:ascii="黑体" w:eastAsia="黑体" w:hAnsi="黑体"/>
          <w:szCs w:val="21"/>
        </w:rPr>
      </w:pPr>
      <w:r w:rsidRPr="00BD188C">
        <w:rPr>
          <w:rFonts w:ascii="黑体" w:eastAsia="黑体" w:hAnsi="黑体" w:hint="eastAsia"/>
          <w:szCs w:val="21"/>
        </w:rPr>
        <w:t>材料</w:t>
      </w:r>
    </w:p>
    <w:p w:rsidR="008D7AB3" w:rsidRPr="00BD188C" w:rsidRDefault="008D7AB3" w:rsidP="00BD188C">
      <w:pPr>
        <w:spacing w:line="360" w:lineRule="auto"/>
        <w:rPr>
          <w:rFonts w:ascii="宋体" w:eastAsia="宋体" w:hAnsi="宋体"/>
          <w:szCs w:val="21"/>
        </w:rPr>
      </w:pPr>
      <w:r>
        <w:rPr>
          <w:rFonts w:eastAsiaTheme="minorHAnsi" w:hint="eastAsia"/>
          <w:sz w:val="28"/>
          <w:szCs w:val="28"/>
        </w:rPr>
        <w:t xml:space="preserve">  </w:t>
      </w:r>
      <w:r w:rsidRPr="00BD188C">
        <w:rPr>
          <w:rFonts w:ascii="宋体" w:eastAsia="宋体" w:hAnsi="宋体" w:hint="eastAsia"/>
          <w:szCs w:val="21"/>
        </w:rPr>
        <w:t>以木薯栽培品种华南6068；华南9号；深黄木薯BGM019和粉红木薯</w:t>
      </w:r>
      <w:proofErr w:type="spellStart"/>
      <w:r w:rsidRPr="00BD188C">
        <w:rPr>
          <w:rFonts w:ascii="宋体" w:eastAsia="宋体" w:hAnsi="宋体" w:hint="eastAsia"/>
          <w:szCs w:val="21"/>
        </w:rPr>
        <w:t>Mirasol</w:t>
      </w:r>
      <w:proofErr w:type="spellEnd"/>
      <w:r w:rsidRPr="00BD188C">
        <w:rPr>
          <w:rFonts w:ascii="宋体" w:eastAsia="宋体" w:hAnsi="宋体" w:hint="eastAsia"/>
          <w:szCs w:val="21"/>
        </w:rPr>
        <w:t>为</w:t>
      </w:r>
      <w:r w:rsidR="002A551A" w:rsidRPr="00BD188C">
        <w:rPr>
          <w:rFonts w:ascii="宋体" w:eastAsia="宋体" w:hAnsi="宋体" w:hint="eastAsia"/>
          <w:szCs w:val="21"/>
        </w:rPr>
        <w:t>研究</w:t>
      </w:r>
      <w:r w:rsidRPr="00BD188C">
        <w:rPr>
          <w:rFonts w:ascii="宋体" w:eastAsia="宋体" w:hAnsi="宋体" w:hint="eastAsia"/>
          <w:szCs w:val="21"/>
        </w:rPr>
        <w:t>材料。以华南6068为对照，其特点为类胡萝卜素含量低，以华南9</w:t>
      </w:r>
      <w:r w:rsidR="00292BAB" w:rsidRPr="00BD188C">
        <w:rPr>
          <w:rFonts w:ascii="宋体" w:eastAsia="宋体" w:hAnsi="宋体" w:hint="eastAsia"/>
          <w:szCs w:val="21"/>
        </w:rPr>
        <w:t>号，紫叶黄心</w:t>
      </w:r>
      <w:r w:rsidRPr="00BD188C">
        <w:rPr>
          <w:rFonts w:ascii="宋体" w:eastAsia="宋体" w:hAnsi="宋体" w:hint="eastAsia"/>
          <w:szCs w:val="21"/>
        </w:rPr>
        <w:t>木薯BGM019</w:t>
      </w:r>
      <w:r w:rsidRPr="00BD188C">
        <w:rPr>
          <w:rFonts w:ascii="宋体" w:eastAsia="宋体" w:hAnsi="宋体" w:hint="eastAsia"/>
          <w:szCs w:val="21"/>
        </w:rPr>
        <w:lastRenderedPageBreak/>
        <w:t>和粉红木薯</w:t>
      </w:r>
      <w:proofErr w:type="spellStart"/>
      <w:r w:rsidRPr="00BD188C">
        <w:rPr>
          <w:rFonts w:ascii="宋体" w:eastAsia="宋体" w:hAnsi="宋体" w:hint="eastAsia"/>
          <w:szCs w:val="21"/>
        </w:rPr>
        <w:t>Mirasol</w:t>
      </w:r>
      <w:proofErr w:type="spellEnd"/>
      <w:r w:rsidRPr="00BD188C">
        <w:rPr>
          <w:rFonts w:ascii="宋体" w:eastAsia="宋体" w:hAnsi="宋体" w:hint="eastAsia"/>
          <w:szCs w:val="21"/>
        </w:rPr>
        <w:t>为实验组，在植后6个月（膨大期），9个月（成熟期）挖取块根</w:t>
      </w:r>
      <w:r w:rsidR="007804B5" w:rsidRPr="00BD188C">
        <w:rPr>
          <w:rFonts w:ascii="宋体" w:eastAsia="宋体" w:hAnsi="宋体" w:hint="eastAsia"/>
          <w:szCs w:val="21"/>
        </w:rPr>
        <w:t>，每个品种挖取3次，用双蒸水洗净后切碎液氮冻存</w:t>
      </w:r>
      <w:r w:rsidRPr="00BD188C">
        <w:rPr>
          <w:rFonts w:ascii="宋体" w:eastAsia="宋体" w:hAnsi="宋体" w:hint="eastAsia"/>
          <w:szCs w:val="21"/>
        </w:rPr>
        <w:t>。材料均由中国热带农业科学院热带</w:t>
      </w:r>
      <w:r w:rsidR="002A551A" w:rsidRPr="00BD188C">
        <w:rPr>
          <w:rFonts w:ascii="宋体" w:eastAsia="宋体" w:hAnsi="宋体" w:hint="eastAsia"/>
          <w:szCs w:val="21"/>
        </w:rPr>
        <w:t>作物</w:t>
      </w:r>
      <w:r w:rsidRPr="00BD188C">
        <w:rPr>
          <w:rFonts w:ascii="宋体" w:eastAsia="宋体" w:hAnsi="宋体" w:hint="eastAsia"/>
          <w:szCs w:val="21"/>
        </w:rPr>
        <w:t>品种资源研究所国家木薯种质资源</w:t>
      </w:r>
      <w:proofErr w:type="gramStart"/>
      <w:r w:rsidRPr="00BD188C">
        <w:rPr>
          <w:rFonts w:ascii="宋体" w:eastAsia="宋体" w:hAnsi="宋体" w:hint="eastAsia"/>
          <w:szCs w:val="21"/>
        </w:rPr>
        <w:t>圃</w:t>
      </w:r>
      <w:proofErr w:type="gramEnd"/>
      <w:r w:rsidRPr="00BD188C">
        <w:rPr>
          <w:rFonts w:ascii="宋体" w:eastAsia="宋体" w:hAnsi="宋体" w:hint="eastAsia"/>
          <w:szCs w:val="21"/>
        </w:rPr>
        <w:t>提供。</w:t>
      </w:r>
    </w:p>
    <w:p w:rsidR="008D7AB3" w:rsidRPr="00BD188C" w:rsidRDefault="008D7AB3" w:rsidP="00BD188C">
      <w:pPr>
        <w:pStyle w:val="a3"/>
        <w:numPr>
          <w:ilvl w:val="1"/>
          <w:numId w:val="1"/>
        </w:numPr>
        <w:spacing w:line="360" w:lineRule="auto"/>
        <w:ind w:firstLineChars="0"/>
        <w:rPr>
          <w:rFonts w:ascii="黑体" w:eastAsia="黑体" w:hAnsi="黑体"/>
          <w:szCs w:val="21"/>
        </w:rPr>
      </w:pPr>
      <w:r w:rsidRPr="00BD188C">
        <w:rPr>
          <w:rFonts w:ascii="黑体" w:eastAsia="黑体" w:hAnsi="黑体" w:hint="eastAsia"/>
          <w:szCs w:val="21"/>
        </w:rPr>
        <w:t>方法</w:t>
      </w:r>
    </w:p>
    <w:p w:rsidR="007804B5" w:rsidRPr="00BD188C" w:rsidRDefault="007804B5" w:rsidP="00BD188C">
      <w:pPr>
        <w:spacing w:line="360" w:lineRule="auto"/>
        <w:rPr>
          <w:rFonts w:ascii="黑体" w:eastAsia="黑体" w:hAnsi="黑体"/>
          <w:szCs w:val="21"/>
        </w:rPr>
      </w:pPr>
      <w:r w:rsidRPr="00BD188C">
        <w:rPr>
          <w:rFonts w:ascii="黑体" w:eastAsia="黑体" w:hAnsi="黑体" w:hint="eastAsia"/>
          <w:szCs w:val="21"/>
        </w:rPr>
        <w:t>1.2.1块根β-胡萝卜素的提取</w:t>
      </w:r>
    </w:p>
    <w:p w:rsidR="007804B5" w:rsidRPr="00BD188C" w:rsidRDefault="007804B5" w:rsidP="00BD188C">
      <w:pPr>
        <w:spacing w:line="360" w:lineRule="auto"/>
        <w:rPr>
          <w:rFonts w:ascii="宋体" w:eastAsia="宋体" w:hAnsi="宋体"/>
          <w:szCs w:val="21"/>
        </w:rPr>
      </w:pPr>
      <w:r>
        <w:rPr>
          <w:rFonts w:eastAsiaTheme="minorHAnsi" w:hint="eastAsia"/>
          <w:sz w:val="28"/>
          <w:szCs w:val="28"/>
        </w:rPr>
        <w:t xml:space="preserve"> </w:t>
      </w:r>
      <w:r w:rsidRPr="007804B5">
        <w:rPr>
          <w:rFonts w:eastAsiaTheme="minorHAnsi" w:hint="eastAsia"/>
          <w:sz w:val="28"/>
          <w:szCs w:val="28"/>
        </w:rPr>
        <w:t xml:space="preserve"> </w:t>
      </w:r>
      <w:r w:rsidRPr="00BD188C">
        <w:rPr>
          <w:rFonts w:ascii="宋体" w:eastAsia="宋体" w:hAnsi="宋体" w:hint="eastAsia"/>
          <w:szCs w:val="21"/>
        </w:rPr>
        <w:t>块根类</w:t>
      </w:r>
      <w:r w:rsidR="002A551A" w:rsidRPr="00BD188C">
        <w:rPr>
          <w:rFonts w:ascii="宋体" w:eastAsia="宋体" w:hAnsi="宋体" w:hint="eastAsia"/>
          <w:szCs w:val="21"/>
        </w:rPr>
        <w:t>β-</w:t>
      </w:r>
      <w:r w:rsidRPr="00BD188C">
        <w:rPr>
          <w:rFonts w:ascii="宋体" w:eastAsia="宋体" w:hAnsi="宋体" w:hint="eastAsia"/>
          <w:szCs w:val="21"/>
        </w:rPr>
        <w:t>胡萝卜素的提取参照</w:t>
      </w:r>
      <w:r w:rsidRPr="00BD188C">
        <w:rPr>
          <w:rFonts w:ascii="宋体" w:eastAsia="宋体" w:hAnsi="宋体"/>
          <w:szCs w:val="21"/>
        </w:rPr>
        <w:t>Lucia</w:t>
      </w:r>
      <w:r w:rsidRPr="00BD188C">
        <w:rPr>
          <w:rFonts w:ascii="宋体" w:eastAsia="宋体" w:hAnsi="宋体"/>
          <w:szCs w:val="21"/>
          <w:vertAlign w:val="superscript"/>
        </w:rPr>
        <w:t>[</w:t>
      </w:r>
      <w:r w:rsidR="009B2B42" w:rsidRPr="00BD188C">
        <w:rPr>
          <w:rFonts w:ascii="宋体" w:eastAsia="宋体" w:hAnsi="宋体"/>
          <w:szCs w:val="21"/>
          <w:vertAlign w:val="superscript"/>
        </w:rPr>
        <w:t>21</w:t>
      </w:r>
      <w:r w:rsidRPr="00BD188C">
        <w:rPr>
          <w:rFonts w:ascii="宋体" w:eastAsia="宋体" w:hAnsi="宋体"/>
          <w:szCs w:val="21"/>
          <w:vertAlign w:val="superscript"/>
        </w:rPr>
        <w:t>]</w:t>
      </w:r>
      <w:r w:rsidRPr="00BD188C">
        <w:rPr>
          <w:rFonts w:ascii="宋体" w:eastAsia="宋体" w:hAnsi="宋体" w:hint="eastAsia"/>
          <w:szCs w:val="21"/>
        </w:rPr>
        <w:t>，称取</w:t>
      </w:r>
      <w:r w:rsidR="00201DAF" w:rsidRPr="00BD188C">
        <w:rPr>
          <w:rFonts w:ascii="宋体" w:eastAsia="宋体" w:hAnsi="宋体" w:hint="eastAsia"/>
          <w:szCs w:val="21"/>
        </w:rPr>
        <w:t>5</w:t>
      </w:r>
      <w:r w:rsidRPr="00BD188C">
        <w:rPr>
          <w:rFonts w:ascii="宋体" w:eastAsia="宋体" w:hAnsi="宋体"/>
          <w:szCs w:val="21"/>
        </w:rPr>
        <w:t>.0g</w:t>
      </w:r>
      <w:r w:rsidRPr="00BD188C">
        <w:rPr>
          <w:rFonts w:ascii="宋体" w:eastAsia="宋体" w:hAnsi="宋体" w:hint="eastAsia"/>
          <w:szCs w:val="21"/>
        </w:rPr>
        <w:t xml:space="preserve"> SC9</w:t>
      </w:r>
      <w:r w:rsidR="002A551A" w:rsidRPr="00BD188C">
        <w:rPr>
          <w:rFonts w:ascii="宋体" w:eastAsia="宋体" w:hAnsi="宋体" w:hint="eastAsia"/>
          <w:szCs w:val="21"/>
        </w:rPr>
        <w:t>块根用</w:t>
      </w:r>
      <w:r w:rsidRPr="00BD188C">
        <w:rPr>
          <w:rFonts w:ascii="宋体" w:eastAsia="宋体" w:hAnsi="宋体" w:hint="eastAsia"/>
          <w:szCs w:val="21"/>
        </w:rPr>
        <w:t>液氮碾磨至</w:t>
      </w:r>
      <w:r w:rsidRPr="00BD188C">
        <w:rPr>
          <w:rFonts w:ascii="宋体" w:eastAsia="宋体" w:hAnsi="宋体"/>
          <w:szCs w:val="21"/>
        </w:rPr>
        <w:t>粉末状</w:t>
      </w:r>
      <w:r w:rsidRPr="00BD188C">
        <w:rPr>
          <w:rFonts w:ascii="宋体" w:eastAsia="宋体" w:hAnsi="宋体" w:hint="eastAsia"/>
          <w:szCs w:val="21"/>
        </w:rPr>
        <w:t>，转入</w:t>
      </w:r>
      <w:r w:rsidRPr="00BD188C">
        <w:rPr>
          <w:rFonts w:ascii="宋体" w:eastAsia="宋体" w:hAnsi="宋体"/>
          <w:szCs w:val="21"/>
        </w:rPr>
        <w:t>10ml</w:t>
      </w:r>
      <w:r w:rsidRPr="00BD188C">
        <w:rPr>
          <w:rFonts w:ascii="宋体" w:eastAsia="宋体" w:hAnsi="宋体" w:hint="eastAsia"/>
          <w:szCs w:val="21"/>
        </w:rPr>
        <w:t>离心管，加入</w:t>
      </w:r>
      <w:r w:rsidRPr="00BD188C">
        <w:rPr>
          <w:rFonts w:ascii="宋体" w:eastAsia="宋体" w:hAnsi="宋体"/>
          <w:szCs w:val="21"/>
        </w:rPr>
        <w:t>2ml</w:t>
      </w:r>
      <w:r w:rsidRPr="00BD188C">
        <w:rPr>
          <w:rFonts w:ascii="宋体" w:eastAsia="宋体" w:hAnsi="宋体" w:hint="eastAsia"/>
          <w:szCs w:val="21"/>
        </w:rPr>
        <w:t>冷丙酮</w:t>
      </w:r>
      <w:proofErr w:type="gramStart"/>
      <w:r w:rsidRPr="00BD188C">
        <w:rPr>
          <w:rFonts w:ascii="宋体" w:eastAsia="宋体" w:hAnsi="宋体" w:hint="eastAsia"/>
          <w:szCs w:val="21"/>
        </w:rPr>
        <w:t>涡</w:t>
      </w:r>
      <w:proofErr w:type="gramEnd"/>
      <w:r w:rsidRPr="00BD188C">
        <w:rPr>
          <w:rFonts w:ascii="宋体" w:eastAsia="宋体" w:hAnsi="宋体" w:hint="eastAsia"/>
          <w:szCs w:val="21"/>
        </w:rPr>
        <w:t>混，再加入</w:t>
      </w:r>
      <w:r w:rsidRPr="00BD188C">
        <w:rPr>
          <w:rFonts w:ascii="宋体" w:eastAsia="宋体" w:hAnsi="宋体"/>
          <w:szCs w:val="21"/>
        </w:rPr>
        <w:t>2ml</w:t>
      </w:r>
      <w:r w:rsidRPr="00BD188C">
        <w:rPr>
          <w:rFonts w:ascii="宋体" w:eastAsia="宋体" w:hAnsi="宋体" w:hint="eastAsia"/>
          <w:szCs w:val="21"/>
        </w:rPr>
        <w:t>冷冻石油醚</w:t>
      </w:r>
      <w:proofErr w:type="gramStart"/>
      <w:r w:rsidRPr="00BD188C">
        <w:rPr>
          <w:rFonts w:ascii="宋体" w:eastAsia="宋体" w:hAnsi="宋体" w:hint="eastAsia"/>
          <w:szCs w:val="21"/>
        </w:rPr>
        <w:t>涡</w:t>
      </w:r>
      <w:proofErr w:type="gramEnd"/>
      <w:r w:rsidRPr="00BD188C">
        <w:rPr>
          <w:rFonts w:ascii="宋体" w:eastAsia="宋体" w:hAnsi="宋体" w:hint="eastAsia"/>
          <w:szCs w:val="21"/>
        </w:rPr>
        <w:t>混。</w:t>
      </w:r>
      <w:r w:rsidRPr="00BD188C">
        <w:rPr>
          <w:rFonts w:ascii="宋体" w:eastAsia="宋体" w:hAnsi="宋体"/>
          <w:szCs w:val="21"/>
        </w:rPr>
        <w:t>4</w:t>
      </w:r>
      <w:r w:rsidRPr="00BD188C">
        <w:rPr>
          <w:rFonts w:ascii="宋体" w:eastAsia="宋体" w:hAnsi="宋体" w:hint="eastAsia"/>
          <w:szCs w:val="21"/>
        </w:rPr>
        <w:t>℃，</w:t>
      </w:r>
      <w:r w:rsidRPr="00BD188C">
        <w:rPr>
          <w:rFonts w:ascii="宋体" w:eastAsia="宋体" w:hAnsi="宋体"/>
          <w:szCs w:val="21"/>
        </w:rPr>
        <w:t>3000rpm</w:t>
      </w:r>
      <w:r w:rsidRPr="00BD188C">
        <w:rPr>
          <w:rFonts w:ascii="宋体" w:eastAsia="宋体" w:hAnsi="宋体" w:hint="eastAsia"/>
          <w:szCs w:val="21"/>
        </w:rPr>
        <w:t>，离心5min后取上清液，转入</w:t>
      </w:r>
      <w:r w:rsidRPr="00BD188C">
        <w:rPr>
          <w:rFonts w:ascii="宋体" w:eastAsia="宋体" w:hAnsi="宋体"/>
          <w:szCs w:val="21"/>
        </w:rPr>
        <w:t>10ml</w:t>
      </w:r>
      <w:r w:rsidRPr="00BD188C">
        <w:rPr>
          <w:rFonts w:ascii="宋体" w:eastAsia="宋体" w:hAnsi="宋体" w:hint="eastAsia"/>
          <w:szCs w:val="21"/>
        </w:rPr>
        <w:t>离心管，剩余残渣加入</w:t>
      </w:r>
      <w:r w:rsidRPr="00BD188C">
        <w:rPr>
          <w:rFonts w:ascii="宋体" w:eastAsia="宋体" w:hAnsi="宋体"/>
          <w:szCs w:val="21"/>
        </w:rPr>
        <w:t>1ml</w:t>
      </w:r>
      <w:r w:rsidRPr="00BD188C">
        <w:rPr>
          <w:rFonts w:ascii="宋体" w:eastAsia="宋体" w:hAnsi="宋体" w:hint="eastAsia"/>
          <w:szCs w:val="21"/>
        </w:rPr>
        <w:t>石油</w:t>
      </w:r>
      <w:proofErr w:type="gramStart"/>
      <w:r w:rsidRPr="00BD188C">
        <w:rPr>
          <w:rFonts w:ascii="宋体" w:eastAsia="宋体" w:hAnsi="宋体" w:hint="eastAsia"/>
          <w:szCs w:val="21"/>
        </w:rPr>
        <w:t>醚</w:t>
      </w:r>
      <w:proofErr w:type="gramEnd"/>
      <w:r w:rsidRPr="00BD188C">
        <w:rPr>
          <w:rFonts w:ascii="宋体" w:eastAsia="宋体" w:hAnsi="宋体" w:hint="eastAsia"/>
          <w:szCs w:val="21"/>
        </w:rPr>
        <w:t>再次</w:t>
      </w:r>
      <w:proofErr w:type="gramStart"/>
      <w:r w:rsidRPr="00BD188C">
        <w:rPr>
          <w:rFonts w:ascii="宋体" w:eastAsia="宋体" w:hAnsi="宋体" w:hint="eastAsia"/>
          <w:szCs w:val="21"/>
        </w:rPr>
        <w:t>涡</w:t>
      </w:r>
      <w:proofErr w:type="gramEnd"/>
      <w:r w:rsidRPr="00BD188C">
        <w:rPr>
          <w:rFonts w:ascii="宋体" w:eastAsia="宋体" w:hAnsi="宋体" w:hint="eastAsia"/>
          <w:szCs w:val="21"/>
        </w:rPr>
        <w:t>混、离心，重复抽提</w:t>
      </w:r>
      <w:r w:rsidRPr="00BD188C">
        <w:rPr>
          <w:rFonts w:ascii="宋体" w:eastAsia="宋体" w:hAnsi="宋体"/>
          <w:szCs w:val="21"/>
        </w:rPr>
        <w:t>3</w:t>
      </w:r>
      <w:r w:rsidRPr="00BD188C">
        <w:rPr>
          <w:rFonts w:ascii="宋体" w:eastAsia="宋体" w:hAnsi="宋体" w:hint="eastAsia"/>
          <w:szCs w:val="21"/>
        </w:rPr>
        <w:t>次，直到残渣变成无色，收集的样品液用氮气吹干，加入</w:t>
      </w:r>
      <w:r w:rsidRPr="00BD188C">
        <w:rPr>
          <w:rFonts w:ascii="宋体" w:eastAsia="宋体" w:hAnsi="宋体"/>
          <w:szCs w:val="21"/>
        </w:rPr>
        <w:t>500</w:t>
      </w:r>
      <w:r w:rsidRPr="00BD188C">
        <w:rPr>
          <w:rFonts w:ascii="宋体" w:eastAsia="宋体" w:hAnsi="宋体" w:hint="eastAsia"/>
          <w:szCs w:val="21"/>
        </w:rPr>
        <w:t xml:space="preserve"> </w:t>
      </w:r>
      <w:r w:rsidRPr="00BD188C">
        <w:rPr>
          <w:rFonts w:ascii="宋体" w:eastAsia="宋体" w:hAnsi="宋体" w:hint="eastAsia"/>
          <w:szCs w:val="21"/>
        </w:rPr>
        <w:sym w:font="Symbol" w:char="F06D"/>
      </w:r>
      <w:r w:rsidRPr="00BD188C">
        <w:rPr>
          <w:rFonts w:ascii="宋体" w:eastAsia="宋体" w:hAnsi="宋体" w:hint="eastAsia"/>
          <w:szCs w:val="21"/>
        </w:rPr>
        <w:t>l丙酮溶解后转入棕色样品瓶中。用</w:t>
      </w:r>
      <w:r w:rsidRPr="00BD188C">
        <w:rPr>
          <w:rFonts w:ascii="宋体" w:eastAsia="宋体" w:hAnsi="宋体"/>
          <w:szCs w:val="21"/>
        </w:rPr>
        <w:t>YCM Carotenoid S-3</w:t>
      </w:r>
      <w:r w:rsidRPr="00BD188C">
        <w:rPr>
          <w:rFonts w:ascii="宋体" w:eastAsia="宋体" w:hAnsi="宋体" w:hint="eastAsia"/>
          <w:szCs w:val="21"/>
        </w:rPr>
        <w:t>柱、</w:t>
      </w:r>
      <w:r w:rsidRPr="00BD188C">
        <w:rPr>
          <w:rFonts w:ascii="宋体" w:eastAsia="宋体" w:hAnsi="宋体"/>
          <w:szCs w:val="21"/>
        </w:rPr>
        <w:t>30</w:t>
      </w:r>
      <w:r w:rsidRPr="00BD188C">
        <w:rPr>
          <w:rFonts w:ascii="宋体" w:eastAsia="宋体" w:hAnsi="宋体" w:hint="eastAsia"/>
          <w:szCs w:val="21"/>
        </w:rPr>
        <w:t>℃柱温、</w:t>
      </w:r>
      <w:r w:rsidR="00292BAB" w:rsidRPr="00BD188C">
        <w:rPr>
          <w:rFonts w:ascii="宋体" w:eastAsia="宋体" w:hAnsi="宋体" w:hint="eastAsia"/>
          <w:szCs w:val="21"/>
        </w:rPr>
        <w:t>流动相</w:t>
      </w:r>
      <w:r w:rsidRPr="00BD188C">
        <w:rPr>
          <w:rFonts w:ascii="宋体" w:eastAsia="宋体" w:hAnsi="宋体" w:hint="eastAsia"/>
          <w:szCs w:val="21"/>
        </w:rPr>
        <w:t>甲醇</w:t>
      </w:r>
      <w:r w:rsidRPr="00BD188C">
        <w:rPr>
          <w:rFonts w:ascii="宋体" w:eastAsia="宋体" w:hAnsi="宋体"/>
          <w:szCs w:val="21"/>
        </w:rPr>
        <w:t>/</w:t>
      </w:r>
      <w:r w:rsidRPr="00BD188C">
        <w:rPr>
          <w:rFonts w:ascii="宋体" w:eastAsia="宋体" w:hAnsi="宋体" w:hint="eastAsia"/>
          <w:szCs w:val="21"/>
        </w:rPr>
        <w:t>叔丁基甲醚(</w:t>
      </w:r>
      <w:r w:rsidRPr="00BD188C">
        <w:rPr>
          <w:rFonts w:ascii="宋体" w:eastAsia="宋体" w:hAnsi="宋体"/>
          <w:szCs w:val="21"/>
        </w:rPr>
        <w:t>70/30</w:t>
      </w:r>
      <w:r w:rsidRPr="00BD188C">
        <w:rPr>
          <w:rFonts w:ascii="宋体" w:eastAsia="宋体" w:hAnsi="宋体" w:hint="eastAsia"/>
          <w:szCs w:val="21"/>
        </w:rPr>
        <w:t xml:space="preserve">, </w:t>
      </w:r>
      <w:r w:rsidRPr="00BD188C">
        <w:rPr>
          <w:rFonts w:ascii="宋体" w:eastAsia="宋体" w:hAnsi="宋体"/>
          <w:szCs w:val="21"/>
        </w:rPr>
        <w:t>v/v</w:t>
      </w:r>
      <w:r w:rsidRPr="00BD188C">
        <w:rPr>
          <w:rFonts w:ascii="宋体" w:eastAsia="宋体" w:hAnsi="宋体" w:hint="eastAsia"/>
          <w:szCs w:val="21"/>
        </w:rPr>
        <w:t>)、</w:t>
      </w:r>
      <w:r w:rsidR="00292BAB" w:rsidRPr="00BD188C">
        <w:rPr>
          <w:rFonts w:ascii="宋体" w:eastAsia="宋体" w:hAnsi="宋体" w:hint="eastAsia"/>
          <w:szCs w:val="21"/>
        </w:rPr>
        <w:t>流速</w:t>
      </w:r>
      <w:r w:rsidRPr="00BD188C">
        <w:rPr>
          <w:rFonts w:ascii="宋体" w:eastAsia="宋体" w:hAnsi="宋体"/>
          <w:szCs w:val="21"/>
        </w:rPr>
        <w:t>1ml/min</w:t>
      </w:r>
      <w:r w:rsidRPr="00BD188C">
        <w:rPr>
          <w:rFonts w:ascii="宋体" w:eastAsia="宋体" w:hAnsi="宋体" w:hint="eastAsia"/>
          <w:szCs w:val="21"/>
        </w:rPr>
        <w:t>、</w:t>
      </w:r>
      <w:proofErr w:type="gramStart"/>
      <w:r w:rsidR="00292BAB" w:rsidRPr="00BD188C">
        <w:rPr>
          <w:rFonts w:ascii="宋体" w:eastAsia="宋体" w:hAnsi="宋体" w:hint="eastAsia"/>
          <w:szCs w:val="21"/>
        </w:rPr>
        <w:t>进样量</w:t>
      </w:r>
      <w:proofErr w:type="gramEnd"/>
      <w:r w:rsidRPr="00BD188C">
        <w:rPr>
          <w:rFonts w:ascii="宋体" w:eastAsia="宋体" w:hAnsi="宋体"/>
          <w:szCs w:val="21"/>
        </w:rPr>
        <w:t>20</w:t>
      </w:r>
      <w:r w:rsidRPr="00BD188C">
        <w:rPr>
          <w:rFonts w:ascii="宋体" w:eastAsia="宋体" w:hAnsi="宋体" w:hint="eastAsia"/>
          <w:szCs w:val="21"/>
        </w:rPr>
        <w:t xml:space="preserve"> </w:t>
      </w:r>
      <w:r w:rsidRPr="00BD188C">
        <w:rPr>
          <w:rFonts w:ascii="宋体" w:eastAsia="宋体" w:hAnsi="宋体" w:hint="eastAsia"/>
          <w:szCs w:val="21"/>
        </w:rPr>
        <w:sym w:font="Symbol" w:char="F06D"/>
      </w:r>
      <w:r w:rsidRPr="00BD188C">
        <w:rPr>
          <w:rFonts w:ascii="宋体" w:eastAsia="宋体" w:hAnsi="宋体" w:hint="eastAsia"/>
          <w:szCs w:val="21"/>
        </w:rPr>
        <w:t>l和</w:t>
      </w:r>
      <w:r w:rsidRPr="00BD188C">
        <w:rPr>
          <w:rFonts w:ascii="宋体" w:eastAsia="宋体" w:hAnsi="宋体"/>
          <w:szCs w:val="21"/>
        </w:rPr>
        <w:t>450nm</w:t>
      </w:r>
      <w:r w:rsidRPr="00BD188C">
        <w:rPr>
          <w:rFonts w:ascii="宋体" w:eastAsia="宋体" w:hAnsi="宋体" w:hint="eastAsia"/>
          <w:szCs w:val="21"/>
        </w:rPr>
        <w:t>测定波长进行</w:t>
      </w:r>
      <w:r w:rsidRPr="00BD188C">
        <w:rPr>
          <w:rFonts w:ascii="宋体" w:eastAsia="宋体" w:hAnsi="宋体"/>
          <w:szCs w:val="21"/>
        </w:rPr>
        <w:t>HPLC</w:t>
      </w:r>
      <w:r w:rsidRPr="00BD188C">
        <w:rPr>
          <w:rFonts w:ascii="宋体" w:eastAsia="宋体" w:hAnsi="宋体" w:hint="eastAsia"/>
          <w:szCs w:val="21"/>
        </w:rPr>
        <w:t xml:space="preserve">分析。 </w:t>
      </w:r>
      <w:r w:rsidRPr="00BD188C">
        <w:rPr>
          <w:rFonts w:ascii="宋体" w:eastAsia="宋体" w:hAnsi="宋体" w:hint="eastAsia"/>
          <w:szCs w:val="21"/>
        </w:rPr>
        <w:tab/>
      </w:r>
    </w:p>
    <w:p w:rsidR="00B21DF4" w:rsidRPr="00BD188C" w:rsidRDefault="00B21DF4" w:rsidP="00BD188C">
      <w:pPr>
        <w:spacing w:line="360" w:lineRule="auto"/>
        <w:rPr>
          <w:rFonts w:ascii="黑体" w:eastAsia="黑体" w:hAnsi="黑体"/>
          <w:szCs w:val="21"/>
        </w:rPr>
      </w:pPr>
      <w:r w:rsidRPr="00BD188C">
        <w:rPr>
          <w:rFonts w:ascii="黑体" w:eastAsia="黑体" w:hAnsi="黑体"/>
          <w:szCs w:val="21"/>
        </w:rPr>
        <w:t>1.2.2 RNA</w:t>
      </w:r>
      <w:r w:rsidRPr="00BD188C">
        <w:rPr>
          <w:rFonts w:ascii="黑体" w:eastAsia="黑体" w:hAnsi="黑体" w:hint="eastAsia"/>
          <w:szCs w:val="21"/>
        </w:rPr>
        <w:t>样品的提取及反转录</w:t>
      </w:r>
    </w:p>
    <w:p w:rsidR="00B21DF4" w:rsidRPr="00BD188C" w:rsidRDefault="00B21DF4" w:rsidP="00BD188C">
      <w:pPr>
        <w:spacing w:line="360" w:lineRule="auto"/>
        <w:ind w:firstLineChars="98" w:firstLine="274"/>
        <w:rPr>
          <w:rFonts w:ascii="宋体" w:eastAsia="宋体" w:hAnsi="宋体"/>
          <w:szCs w:val="21"/>
        </w:rPr>
      </w:pPr>
      <w:r>
        <w:rPr>
          <w:rFonts w:eastAsiaTheme="minorHAnsi" w:hint="eastAsia"/>
          <w:sz w:val="28"/>
          <w:szCs w:val="28"/>
        </w:rPr>
        <w:t xml:space="preserve">  </w:t>
      </w:r>
      <w:r w:rsidRPr="00BD188C">
        <w:rPr>
          <w:rFonts w:ascii="宋体" w:eastAsia="宋体" w:hAnsi="宋体" w:hint="eastAsia"/>
          <w:szCs w:val="21"/>
        </w:rPr>
        <w:t>参照</w:t>
      </w:r>
      <w:r w:rsidRPr="00BD188C">
        <w:rPr>
          <w:rFonts w:ascii="宋体" w:eastAsia="宋体" w:hAnsi="宋体"/>
          <w:szCs w:val="21"/>
        </w:rPr>
        <w:t xml:space="preserve">TIANGEN </w:t>
      </w:r>
      <w:proofErr w:type="spellStart"/>
      <w:r w:rsidRPr="00BD188C">
        <w:rPr>
          <w:rFonts w:ascii="宋体" w:eastAsia="宋体" w:hAnsi="宋体"/>
          <w:szCs w:val="21"/>
        </w:rPr>
        <w:t>RNAprep</w:t>
      </w:r>
      <w:proofErr w:type="spellEnd"/>
      <w:r w:rsidRPr="00BD188C">
        <w:rPr>
          <w:rFonts w:ascii="宋体" w:eastAsia="宋体" w:hAnsi="宋体"/>
          <w:szCs w:val="21"/>
        </w:rPr>
        <w:t xml:space="preserve"> Pure Plant Kit</w:t>
      </w:r>
      <w:r w:rsidRPr="00BD188C">
        <w:rPr>
          <w:rFonts w:ascii="宋体" w:eastAsia="宋体" w:hAnsi="宋体" w:hint="eastAsia"/>
          <w:szCs w:val="21"/>
        </w:rPr>
        <w:t>多糖多酚试剂盒说明书进行木薯块根总RNA提取。RNA反转录参照</w:t>
      </w:r>
      <w:r w:rsidRPr="00BD188C">
        <w:rPr>
          <w:rFonts w:ascii="宋体" w:eastAsia="宋体" w:hAnsi="宋体"/>
          <w:szCs w:val="21"/>
        </w:rPr>
        <w:t>TAKARA</w:t>
      </w:r>
      <w:r w:rsidRPr="00BD188C">
        <w:rPr>
          <w:rFonts w:ascii="宋体" w:eastAsia="宋体" w:hAnsi="宋体" w:hint="eastAsia"/>
          <w:szCs w:val="21"/>
        </w:rPr>
        <w:t>公司</w:t>
      </w:r>
      <w:proofErr w:type="spellStart"/>
      <w:r w:rsidRPr="00BD188C">
        <w:rPr>
          <w:rFonts w:ascii="宋体" w:eastAsia="宋体" w:hAnsi="宋体"/>
          <w:szCs w:val="21"/>
        </w:rPr>
        <w:t>PrimeScript</w:t>
      </w:r>
      <w:r w:rsidRPr="00BD188C">
        <w:rPr>
          <w:rFonts w:ascii="宋体" w:eastAsia="宋体" w:hAnsi="宋体"/>
          <w:szCs w:val="21"/>
          <w:vertAlign w:val="superscript"/>
        </w:rPr>
        <w:t>TM</w:t>
      </w:r>
      <w:proofErr w:type="spellEnd"/>
      <w:r w:rsidRPr="00BD188C">
        <w:rPr>
          <w:rFonts w:ascii="宋体" w:eastAsia="宋体" w:hAnsi="宋体"/>
          <w:szCs w:val="21"/>
          <w:vertAlign w:val="superscript"/>
        </w:rPr>
        <w:t xml:space="preserve"> </w:t>
      </w:r>
      <w:r w:rsidRPr="00BD188C">
        <w:rPr>
          <w:rFonts w:ascii="宋体" w:eastAsia="宋体" w:hAnsi="宋体"/>
          <w:szCs w:val="21"/>
        </w:rPr>
        <w:t xml:space="preserve">RT </w:t>
      </w:r>
      <w:proofErr w:type="spellStart"/>
      <w:r w:rsidRPr="00BD188C">
        <w:rPr>
          <w:rFonts w:ascii="宋体" w:eastAsia="宋体" w:hAnsi="宋体"/>
          <w:szCs w:val="21"/>
        </w:rPr>
        <w:t>regant</w:t>
      </w:r>
      <w:proofErr w:type="spellEnd"/>
      <w:r w:rsidRPr="00BD188C">
        <w:rPr>
          <w:rFonts w:ascii="宋体" w:eastAsia="宋体" w:hAnsi="宋体"/>
          <w:szCs w:val="21"/>
        </w:rPr>
        <w:t xml:space="preserve"> Kit with </w:t>
      </w:r>
      <w:proofErr w:type="spellStart"/>
      <w:r w:rsidRPr="00BD188C">
        <w:rPr>
          <w:rFonts w:ascii="宋体" w:eastAsia="宋体" w:hAnsi="宋体"/>
          <w:szCs w:val="21"/>
        </w:rPr>
        <w:t>gDNA</w:t>
      </w:r>
      <w:proofErr w:type="spellEnd"/>
      <w:r w:rsidRPr="00BD188C">
        <w:rPr>
          <w:rFonts w:ascii="宋体" w:eastAsia="宋体" w:hAnsi="宋体"/>
          <w:szCs w:val="21"/>
        </w:rPr>
        <w:t xml:space="preserve"> Eraser</w:t>
      </w:r>
      <w:r w:rsidRPr="00BD188C">
        <w:rPr>
          <w:rFonts w:ascii="宋体" w:eastAsia="宋体" w:hAnsi="宋体" w:hint="eastAsia"/>
          <w:szCs w:val="21"/>
        </w:rPr>
        <w:t xml:space="preserve"> (</w:t>
      </w:r>
      <w:r w:rsidRPr="00BD188C">
        <w:rPr>
          <w:rFonts w:ascii="宋体" w:eastAsia="宋体" w:hAnsi="宋体"/>
          <w:szCs w:val="21"/>
        </w:rPr>
        <w:t>Perfect Real Time</w:t>
      </w:r>
      <w:r w:rsidRPr="00BD188C">
        <w:rPr>
          <w:rFonts w:ascii="宋体" w:eastAsia="宋体" w:hAnsi="宋体" w:hint="eastAsia"/>
          <w:szCs w:val="21"/>
        </w:rPr>
        <w:t>)进行基因组去除及反转录。</w:t>
      </w:r>
    </w:p>
    <w:p w:rsidR="00B21DF4" w:rsidRPr="00BD188C" w:rsidRDefault="00B21DF4" w:rsidP="00BD188C">
      <w:pPr>
        <w:spacing w:line="360" w:lineRule="auto"/>
        <w:rPr>
          <w:rFonts w:ascii="黑体" w:eastAsia="黑体" w:hAnsi="黑体"/>
          <w:szCs w:val="21"/>
        </w:rPr>
      </w:pPr>
      <w:r w:rsidRPr="00BD188C">
        <w:rPr>
          <w:rFonts w:ascii="黑体" w:eastAsia="黑体" w:hAnsi="黑体" w:hint="eastAsia"/>
          <w:szCs w:val="21"/>
        </w:rPr>
        <w:t>1.2.3</w:t>
      </w:r>
      <w:r w:rsidRPr="00BD188C">
        <w:rPr>
          <w:rFonts w:ascii="黑体" w:eastAsia="黑体" w:hAnsi="黑体"/>
          <w:szCs w:val="21"/>
        </w:rPr>
        <w:t xml:space="preserve"> </w:t>
      </w:r>
      <w:r w:rsidRPr="00BD188C">
        <w:rPr>
          <w:rFonts w:ascii="黑体" w:eastAsia="黑体" w:hAnsi="黑体" w:hint="eastAsia"/>
          <w:szCs w:val="21"/>
        </w:rPr>
        <w:t>块根蛋白质提取及Western</w:t>
      </w:r>
      <w:r w:rsidRPr="00BD188C">
        <w:rPr>
          <w:rFonts w:ascii="黑体" w:eastAsia="黑体" w:hAnsi="黑体"/>
          <w:szCs w:val="21"/>
        </w:rPr>
        <w:t xml:space="preserve"> B</w:t>
      </w:r>
      <w:r w:rsidRPr="00BD188C">
        <w:rPr>
          <w:rFonts w:ascii="黑体" w:eastAsia="黑体" w:hAnsi="黑体" w:hint="eastAsia"/>
          <w:szCs w:val="21"/>
        </w:rPr>
        <w:t>lot检测</w:t>
      </w:r>
    </w:p>
    <w:p w:rsidR="00C12AEF" w:rsidRPr="00BD188C" w:rsidRDefault="00C12AEF" w:rsidP="00BD188C">
      <w:pPr>
        <w:spacing w:line="360" w:lineRule="auto"/>
        <w:rPr>
          <w:rFonts w:ascii="宋体" w:eastAsia="宋体" w:hAnsi="宋体"/>
          <w:szCs w:val="21"/>
        </w:rPr>
      </w:pPr>
      <w:r w:rsidRPr="00BD188C">
        <w:rPr>
          <w:rFonts w:ascii="宋体" w:eastAsia="宋体" w:hAnsi="宋体" w:hint="eastAsia"/>
          <w:szCs w:val="21"/>
        </w:rPr>
        <w:t xml:space="preserve">  蛋白质的提取与溶解参照</w:t>
      </w:r>
      <w:proofErr w:type="spellStart"/>
      <w:r w:rsidRPr="00BD188C">
        <w:rPr>
          <w:rFonts w:ascii="宋体" w:eastAsia="宋体" w:hAnsi="宋体" w:hint="eastAsia"/>
          <w:szCs w:val="21"/>
        </w:rPr>
        <w:t>Carvalho</w:t>
      </w:r>
      <w:proofErr w:type="spellEnd"/>
      <w:r w:rsidRPr="00BD188C">
        <w:rPr>
          <w:rFonts w:ascii="宋体" w:eastAsia="宋体" w:hAnsi="宋体" w:hint="eastAsia"/>
          <w:szCs w:val="21"/>
          <w:vertAlign w:val="superscript"/>
        </w:rPr>
        <w:t>【</w:t>
      </w:r>
      <w:r w:rsidR="009B2B42" w:rsidRPr="00BD188C">
        <w:rPr>
          <w:rFonts w:ascii="宋体" w:eastAsia="宋体" w:hAnsi="宋体" w:hint="eastAsia"/>
          <w:szCs w:val="21"/>
          <w:vertAlign w:val="superscript"/>
        </w:rPr>
        <w:t>22</w:t>
      </w:r>
      <w:r w:rsidRPr="00BD188C">
        <w:rPr>
          <w:rFonts w:ascii="宋体" w:eastAsia="宋体" w:hAnsi="宋体" w:hint="eastAsia"/>
          <w:szCs w:val="21"/>
          <w:vertAlign w:val="superscript"/>
        </w:rPr>
        <w:t>】</w:t>
      </w:r>
      <w:r w:rsidRPr="00BD188C">
        <w:rPr>
          <w:rFonts w:ascii="宋体" w:eastAsia="宋体" w:hAnsi="宋体" w:hint="eastAsia"/>
          <w:szCs w:val="21"/>
        </w:rPr>
        <w:t>等丙酮沉淀法提取块根蛋白质，后加入适量的1×SDS</w:t>
      </w:r>
      <w:r w:rsidRPr="00BD188C">
        <w:rPr>
          <w:rFonts w:ascii="宋体" w:eastAsia="宋体" w:hAnsi="宋体"/>
          <w:szCs w:val="21"/>
        </w:rPr>
        <w:t xml:space="preserve"> loading buffer</w:t>
      </w:r>
      <w:r w:rsidRPr="00BD188C">
        <w:rPr>
          <w:rFonts w:ascii="宋体" w:eastAsia="宋体" w:hAnsi="宋体" w:hint="eastAsia"/>
          <w:szCs w:val="21"/>
        </w:rPr>
        <w:t>（1</w:t>
      </w:r>
      <w:r w:rsidRPr="00BD188C">
        <w:rPr>
          <w:rFonts w:ascii="宋体" w:eastAsia="宋体" w:hAnsi="宋体"/>
          <w:szCs w:val="21"/>
        </w:rPr>
        <w:t xml:space="preserve">M </w:t>
      </w:r>
      <w:proofErr w:type="spellStart"/>
      <w:r w:rsidRPr="00BD188C">
        <w:rPr>
          <w:rFonts w:ascii="宋体" w:eastAsia="宋体" w:hAnsi="宋体"/>
          <w:szCs w:val="21"/>
        </w:rPr>
        <w:t>T</w:t>
      </w:r>
      <w:r w:rsidRPr="00BD188C">
        <w:rPr>
          <w:rFonts w:ascii="宋体" w:eastAsia="宋体" w:hAnsi="宋体" w:hint="eastAsia"/>
          <w:szCs w:val="21"/>
        </w:rPr>
        <w:t>ris</w:t>
      </w:r>
      <w:proofErr w:type="spellEnd"/>
      <w:r w:rsidRPr="00BD188C">
        <w:rPr>
          <w:rFonts w:ascii="宋体" w:eastAsia="宋体" w:hAnsi="宋体" w:hint="eastAsia"/>
          <w:szCs w:val="21"/>
        </w:rPr>
        <w:t>-</w:t>
      </w:r>
      <w:r w:rsidRPr="00BD188C">
        <w:rPr>
          <w:rFonts w:ascii="宋体" w:eastAsia="宋体" w:hAnsi="宋体"/>
          <w:szCs w:val="21"/>
        </w:rPr>
        <w:t>H</w:t>
      </w:r>
      <w:r w:rsidRPr="00BD188C">
        <w:rPr>
          <w:rFonts w:ascii="宋体" w:eastAsia="宋体" w:hAnsi="宋体" w:hint="eastAsia"/>
          <w:szCs w:val="21"/>
        </w:rPr>
        <w:t>CL(</w:t>
      </w:r>
      <w:r w:rsidRPr="00BD188C">
        <w:rPr>
          <w:rFonts w:ascii="宋体" w:eastAsia="宋体" w:hAnsi="宋体"/>
          <w:szCs w:val="21"/>
        </w:rPr>
        <w:t>pH 6.</w:t>
      </w:r>
      <w:r w:rsidRPr="00BD188C">
        <w:rPr>
          <w:rFonts w:ascii="宋体" w:eastAsia="宋体" w:hAnsi="宋体" w:hint="eastAsia"/>
          <w:szCs w:val="21"/>
        </w:rPr>
        <w:t xml:space="preserve">8 </w:t>
      </w:r>
      <w:r w:rsidRPr="00BD188C">
        <w:rPr>
          <w:rFonts w:ascii="宋体" w:eastAsia="宋体" w:hAnsi="宋体"/>
          <w:szCs w:val="21"/>
        </w:rPr>
        <w:t>)</w:t>
      </w:r>
      <w:r w:rsidRPr="00BD188C">
        <w:rPr>
          <w:rFonts w:ascii="宋体" w:eastAsia="宋体" w:hAnsi="宋体" w:hint="eastAsia"/>
          <w:szCs w:val="21"/>
        </w:rPr>
        <w:t>、0.2</w:t>
      </w:r>
      <w:r w:rsidRPr="00BD188C">
        <w:rPr>
          <w:rFonts w:ascii="宋体" w:eastAsia="宋体" w:hAnsi="宋体"/>
          <w:szCs w:val="21"/>
        </w:rPr>
        <w:t>M DTT</w:t>
      </w:r>
      <w:r w:rsidRPr="00BD188C">
        <w:rPr>
          <w:rFonts w:ascii="宋体" w:eastAsia="宋体" w:hAnsi="宋体" w:hint="eastAsia"/>
          <w:szCs w:val="21"/>
        </w:rPr>
        <w:t>、4%</w:t>
      </w:r>
      <w:r w:rsidRPr="00BD188C">
        <w:rPr>
          <w:rFonts w:ascii="宋体" w:eastAsia="宋体" w:hAnsi="宋体"/>
          <w:szCs w:val="21"/>
        </w:rPr>
        <w:t xml:space="preserve"> SDS</w:t>
      </w:r>
      <w:r w:rsidRPr="00BD188C">
        <w:rPr>
          <w:rFonts w:ascii="宋体" w:eastAsia="宋体" w:hAnsi="宋体" w:hint="eastAsia"/>
          <w:szCs w:val="21"/>
        </w:rPr>
        <w:t>、20%</w:t>
      </w:r>
      <w:r w:rsidR="009A4B30" w:rsidRPr="00BD188C">
        <w:rPr>
          <w:rFonts w:ascii="宋体" w:eastAsia="宋体" w:hAnsi="宋体" w:hint="eastAsia"/>
          <w:szCs w:val="21"/>
        </w:rPr>
        <w:t>甘油）溶解。采用</w:t>
      </w:r>
      <w:r w:rsidRPr="00BD188C">
        <w:rPr>
          <w:rFonts w:ascii="宋体" w:eastAsia="宋体" w:hAnsi="宋体" w:hint="eastAsia"/>
          <w:szCs w:val="21"/>
        </w:rPr>
        <w:t>SDS-</w:t>
      </w:r>
      <w:r w:rsidRPr="00BD188C">
        <w:rPr>
          <w:rFonts w:ascii="宋体" w:eastAsia="宋体" w:hAnsi="宋体"/>
          <w:szCs w:val="21"/>
        </w:rPr>
        <w:t>PAGE</w:t>
      </w:r>
      <w:r w:rsidRPr="00BD188C">
        <w:rPr>
          <w:rFonts w:ascii="宋体" w:eastAsia="宋体" w:hAnsi="宋体" w:hint="eastAsia"/>
          <w:szCs w:val="21"/>
        </w:rPr>
        <w:t>对溶解后的蛋白样品进行电泳，电泳结束后置于</w:t>
      </w:r>
      <w:proofErr w:type="gramStart"/>
      <w:r w:rsidRPr="00BD188C">
        <w:rPr>
          <w:rFonts w:ascii="宋体" w:eastAsia="宋体" w:hAnsi="宋体" w:hint="eastAsia"/>
          <w:szCs w:val="21"/>
        </w:rPr>
        <w:t>转膜仪</w:t>
      </w:r>
      <w:proofErr w:type="gramEnd"/>
      <w:r w:rsidRPr="00BD188C">
        <w:rPr>
          <w:rFonts w:ascii="宋体" w:eastAsia="宋体" w:hAnsi="宋体" w:hint="eastAsia"/>
          <w:szCs w:val="21"/>
        </w:rPr>
        <w:t>（</w:t>
      </w:r>
      <w:proofErr w:type="spellStart"/>
      <w:r w:rsidRPr="00BD188C">
        <w:rPr>
          <w:rFonts w:ascii="宋体" w:eastAsia="宋体" w:hAnsi="宋体" w:hint="eastAsia"/>
          <w:szCs w:val="21"/>
        </w:rPr>
        <w:t>i</w:t>
      </w:r>
      <w:r w:rsidRPr="00BD188C">
        <w:rPr>
          <w:rFonts w:ascii="宋体" w:eastAsia="宋体" w:hAnsi="宋体"/>
          <w:szCs w:val="21"/>
        </w:rPr>
        <w:t>B</w:t>
      </w:r>
      <w:r w:rsidRPr="00BD188C">
        <w:rPr>
          <w:rFonts w:ascii="宋体" w:eastAsia="宋体" w:hAnsi="宋体" w:hint="eastAsia"/>
          <w:szCs w:val="21"/>
        </w:rPr>
        <w:t>lot</w:t>
      </w:r>
      <w:r w:rsidRPr="00BD188C">
        <w:rPr>
          <w:rFonts w:ascii="宋体" w:eastAsia="宋体" w:hAnsi="宋体"/>
          <w:szCs w:val="21"/>
          <w:vertAlign w:val="superscript"/>
        </w:rPr>
        <w:t>TM</w:t>
      </w:r>
      <w:proofErr w:type="spellEnd"/>
      <w:r w:rsidRPr="00BD188C">
        <w:rPr>
          <w:rFonts w:ascii="宋体" w:eastAsia="宋体" w:hAnsi="宋体"/>
          <w:szCs w:val="21"/>
          <w:vertAlign w:val="superscript"/>
        </w:rPr>
        <w:t xml:space="preserve"> </w:t>
      </w:r>
      <w:r w:rsidRPr="00BD188C">
        <w:rPr>
          <w:rFonts w:ascii="宋体" w:eastAsia="宋体" w:hAnsi="宋体"/>
          <w:szCs w:val="21"/>
        </w:rPr>
        <w:t>D</w:t>
      </w:r>
      <w:r w:rsidRPr="00BD188C">
        <w:rPr>
          <w:rFonts w:ascii="宋体" w:eastAsia="宋体" w:hAnsi="宋体" w:hint="eastAsia"/>
          <w:szCs w:val="21"/>
        </w:rPr>
        <w:t>ry</w:t>
      </w:r>
      <w:r w:rsidRPr="00BD188C">
        <w:rPr>
          <w:rFonts w:ascii="宋体" w:eastAsia="宋体" w:hAnsi="宋体"/>
          <w:szCs w:val="21"/>
        </w:rPr>
        <w:t xml:space="preserve"> B</w:t>
      </w:r>
      <w:r w:rsidRPr="00BD188C">
        <w:rPr>
          <w:rFonts w:ascii="宋体" w:eastAsia="宋体" w:hAnsi="宋体" w:hint="eastAsia"/>
          <w:szCs w:val="21"/>
        </w:rPr>
        <w:t>lotting</w:t>
      </w:r>
      <w:r w:rsidRPr="00BD188C">
        <w:rPr>
          <w:rFonts w:ascii="宋体" w:eastAsia="宋体" w:hAnsi="宋体"/>
          <w:szCs w:val="21"/>
        </w:rPr>
        <w:t xml:space="preserve"> S</w:t>
      </w:r>
      <w:r w:rsidRPr="00BD188C">
        <w:rPr>
          <w:rFonts w:ascii="宋体" w:eastAsia="宋体" w:hAnsi="宋体" w:hint="eastAsia"/>
          <w:szCs w:val="21"/>
        </w:rPr>
        <w:t>ystem）转移到醋酸纤维膜（PVDF</w:t>
      </w:r>
      <w:r w:rsidRPr="00BD188C">
        <w:rPr>
          <w:rFonts w:ascii="宋体" w:eastAsia="宋体" w:hAnsi="宋体"/>
          <w:szCs w:val="21"/>
        </w:rPr>
        <w:t>）</w:t>
      </w:r>
      <w:r w:rsidR="002D6786" w:rsidRPr="00BD188C">
        <w:rPr>
          <w:rFonts w:ascii="宋体" w:eastAsia="宋体" w:hAnsi="宋体" w:hint="eastAsia"/>
          <w:szCs w:val="21"/>
        </w:rPr>
        <w:t>后进行Western</w:t>
      </w:r>
      <w:r w:rsidR="002D6786" w:rsidRPr="00BD188C">
        <w:rPr>
          <w:rFonts w:ascii="宋体" w:eastAsia="宋体" w:hAnsi="宋体"/>
          <w:szCs w:val="21"/>
        </w:rPr>
        <w:t xml:space="preserve"> B</w:t>
      </w:r>
      <w:r w:rsidR="002D6786" w:rsidRPr="00BD188C">
        <w:rPr>
          <w:rFonts w:ascii="宋体" w:eastAsia="宋体" w:hAnsi="宋体" w:hint="eastAsia"/>
          <w:szCs w:val="21"/>
        </w:rPr>
        <w:t>lot检测。相关方法参照</w:t>
      </w:r>
      <w:proofErr w:type="spellStart"/>
      <w:r w:rsidR="002D6786" w:rsidRPr="00BD188C">
        <w:rPr>
          <w:rFonts w:ascii="宋体" w:eastAsia="宋体" w:hAnsi="宋体" w:hint="eastAsia"/>
          <w:szCs w:val="21"/>
        </w:rPr>
        <w:t>Carvalho</w:t>
      </w:r>
      <w:proofErr w:type="spellEnd"/>
      <w:r w:rsidR="002D6786" w:rsidRPr="00BD188C">
        <w:rPr>
          <w:rFonts w:ascii="宋体" w:eastAsia="宋体" w:hAnsi="宋体" w:hint="eastAsia"/>
          <w:szCs w:val="21"/>
          <w:vertAlign w:val="superscript"/>
        </w:rPr>
        <w:t>【</w:t>
      </w:r>
      <w:r w:rsidR="009B2B42" w:rsidRPr="00BD188C">
        <w:rPr>
          <w:rFonts w:ascii="宋体" w:eastAsia="宋体" w:hAnsi="宋体" w:hint="eastAsia"/>
          <w:szCs w:val="21"/>
          <w:vertAlign w:val="superscript"/>
        </w:rPr>
        <w:t>22</w:t>
      </w:r>
      <w:r w:rsidR="002D6786" w:rsidRPr="00BD188C">
        <w:rPr>
          <w:rFonts w:ascii="宋体" w:eastAsia="宋体" w:hAnsi="宋体" w:hint="eastAsia"/>
          <w:szCs w:val="21"/>
          <w:vertAlign w:val="superscript"/>
        </w:rPr>
        <w:t>】</w:t>
      </w:r>
      <w:r w:rsidR="002D6786" w:rsidRPr="00BD188C">
        <w:rPr>
          <w:rFonts w:ascii="宋体" w:eastAsia="宋体" w:hAnsi="宋体" w:hint="eastAsia"/>
          <w:szCs w:val="21"/>
        </w:rPr>
        <w:t>等。</w:t>
      </w:r>
      <w:r w:rsidR="00541ADF" w:rsidRPr="00BD188C">
        <w:rPr>
          <w:rFonts w:ascii="宋体" w:eastAsia="宋体" w:hAnsi="宋体" w:hint="eastAsia"/>
          <w:szCs w:val="21"/>
        </w:rPr>
        <w:t>以</w:t>
      </w:r>
      <w:r w:rsidR="00201DAF" w:rsidRPr="00BD188C">
        <w:rPr>
          <w:rFonts w:ascii="宋体" w:eastAsia="宋体" w:hAnsi="宋体" w:hint="eastAsia"/>
          <w:szCs w:val="21"/>
        </w:rPr>
        <w:t>各个木薯品种</w:t>
      </w:r>
      <w:r w:rsidR="00541ADF" w:rsidRPr="00BD188C">
        <w:rPr>
          <w:rFonts w:ascii="宋体" w:eastAsia="宋体" w:hAnsi="宋体" w:hint="eastAsia"/>
          <w:szCs w:val="21"/>
        </w:rPr>
        <w:t>Actin作为内参，</w:t>
      </w:r>
      <w:r w:rsidR="002D6786" w:rsidRPr="00BD188C">
        <w:rPr>
          <w:rFonts w:ascii="宋体" w:eastAsia="宋体" w:hAnsi="宋体" w:hint="eastAsia"/>
          <w:szCs w:val="21"/>
        </w:rPr>
        <w:t>其中</w:t>
      </w:r>
      <w:r w:rsidR="00095D5C" w:rsidRPr="00BD188C">
        <w:rPr>
          <w:rFonts w:ascii="宋体" w:eastAsia="宋体" w:hAnsi="宋体"/>
          <w:szCs w:val="21"/>
        </w:rPr>
        <w:t>APX</w:t>
      </w:r>
      <w:r w:rsidR="002D6786" w:rsidRPr="00BD188C">
        <w:rPr>
          <w:rFonts w:ascii="宋体" w:eastAsia="宋体" w:hAnsi="宋体" w:hint="eastAsia"/>
          <w:szCs w:val="21"/>
        </w:rPr>
        <w:t>、</w:t>
      </w:r>
      <w:r w:rsidR="00095D5C" w:rsidRPr="00BD188C">
        <w:rPr>
          <w:rFonts w:ascii="宋体" w:eastAsia="宋体" w:hAnsi="宋体"/>
          <w:szCs w:val="21"/>
        </w:rPr>
        <w:t>GR</w:t>
      </w:r>
      <w:r w:rsidR="002D6786" w:rsidRPr="00BD188C">
        <w:rPr>
          <w:rFonts w:ascii="宋体" w:eastAsia="宋体" w:hAnsi="宋体" w:hint="eastAsia"/>
          <w:szCs w:val="21"/>
        </w:rPr>
        <w:t>、</w:t>
      </w:r>
      <w:r w:rsidR="00721D15" w:rsidRPr="00BD188C">
        <w:rPr>
          <w:rFonts w:ascii="宋体" w:eastAsia="宋体" w:hAnsi="宋体" w:hint="eastAsia"/>
          <w:szCs w:val="21"/>
        </w:rPr>
        <w:t>Fe</w:t>
      </w:r>
      <w:r w:rsidR="00721D15" w:rsidRPr="00BD188C">
        <w:rPr>
          <w:rFonts w:ascii="宋体" w:eastAsia="宋体" w:hAnsi="宋体"/>
          <w:szCs w:val="21"/>
        </w:rPr>
        <w:t>-SOD</w:t>
      </w:r>
      <w:r w:rsidR="00721D15" w:rsidRPr="00BD188C">
        <w:rPr>
          <w:rFonts w:ascii="宋体" w:eastAsia="宋体" w:hAnsi="宋体" w:hint="eastAsia"/>
          <w:szCs w:val="21"/>
        </w:rPr>
        <w:t>、HSP70</w:t>
      </w:r>
      <w:r w:rsidR="002D6786" w:rsidRPr="00BD188C">
        <w:rPr>
          <w:rFonts w:ascii="宋体" w:eastAsia="宋体" w:hAnsi="宋体" w:hint="eastAsia"/>
          <w:szCs w:val="21"/>
        </w:rPr>
        <w:t>抗体稀释倍数分别为1:1000</w:t>
      </w:r>
      <w:r w:rsidR="002A551A" w:rsidRPr="00BD188C">
        <w:rPr>
          <w:rFonts w:ascii="宋体" w:eastAsia="宋体" w:hAnsi="宋体" w:hint="eastAsia"/>
          <w:szCs w:val="21"/>
        </w:rPr>
        <w:t>、</w:t>
      </w:r>
      <w:r w:rsidR="002D6786" w:rsidRPr="00BD188C">
        <w:rPr>
          <w:rFonts w:ascii="宋体" w:eastAsia="宋体" w:hAnsi="宋体" w:hint="eastAsia"/>
          <w:szCs w:val="21"/>
        </w:rPr>
        <w:t>1:1000</w:t>
      </w:r>
      <w:r w:rsidR="002A551A" w:rsidRPr="00BD188C">
        <w:rPr>
          <w:rFonts w:ascii="宋体" w:eastAsia="宋体" w:hAnsi="宋体" w:hint="eastAsia"/>
          <w:szCs w:val="21"/>
        </w:rPr>
        <w:t>、</w:t>
      </w:r>
      <w:r w:rsidR="00292BAB" w:rsidRPr="00BD188C">
        <w:rPr>
          <w:rFonts w:ascii="宋体" w:eastAsia="宋体" w:hAnsi="宋体" w:hint="eastAsia"/>
          <w:szCs w:val="21"/>
        </w:rPr>
        <w:t>1</w:t>
      </w:r>
      <w:r w:rsidR="005A6A51" w:rsidRPr="00BD188C">
        <w:rPr>
          <w:rFonts w:ascii="宋体" w:eastAsia="宋体" w:hAnsi="宋体" w:hint="eastAsia"/>
          <w:szCs w:val="21"/>
        </w:rPr>
        <w:t>:2000</w:t>
      </w:r>
      <w:r w:rsidR="002A551A" w:rsidRPr="00BD188C">
        <w:rPr>
          <w:rFonts w:ascii="宋体" w:eastAsia="宋体" w:hAnsi="宋体" w:hint="eastAsia"/>
          <w:szCs w:val="21"/>
        </w:rPr>
        <w:t>和</w:t>
      </w:r>
      <w:r w:rsidR="005A6A51" w:rsidRPr="00BD188C">
        <w:rPr>
          <w:rFonts w:ascii="宋体" w:eastAsia="宋体" w:hAnsi="宋体" w:hint="eastAsia"/>
          <w:szCs w:val="21"/>
        </w:rPr>
        <w:t>1:2000</w:t>
      </w:r>
      <w:r w:rsidR="002D6786" w:rsidRPr="00BD188C">
        <w:rPr>
          <w:rFonts w:ascii="宋体" w:eastAsia="宋体" w:hAnsi="宋体" w:hint="eastAsia"/>
          <w:szCs w:val="21"/>
        </w:rPr>
        <w:t>。</w:t>
      </w:r>
    </w:p>
    <w:p w:rsidR="002D6786" w:rsidRPr="00BC560D" w:rsidRDefault="002D6786" w:rsidP="00B21DF4">
      <w:pPr>
        <w:spacing w:line="480" w:lineRule="auto"/>
        <w:rPr>
          <w:rFonts w:ascii="黑体" w:eastAsia="黑体" w:hAnsi="黑体"/>
          <w:szCs w:val="21"/>
        </w:rPr>
      </w:pPr>
      <w:r w:rsidRPr="00BC560D">
        <w:rPr>
          <w:rFonts w:ascii="黑体" w:eastAsia="黑体" w:hAnsi="黑体" w:hint="eastAsia"/>
          <w:szCs w:val="21"/>
        </w:rPr>
        <w:t>1.2.4</w:t>
      </w:r>
      <w:r w:rsidRPr="00BC560D">
        <w:rPr>
          <w:rFonts w:ascii="黑体" w:eastAsia="黑体" w:hAnsi="黑体"/>
          <w:szCs w:val="21"/>
        </w:rPr>
        <w:t xml:space="preserve"> </w:t>
      </w:r>
      <w:r w:rsidRPr="00BC560D">
        <w:rPr>
          <w:rFonts w:ascii="黑体" w:eastAsia="黑体" w:hAnsi="黑体" w:hint="eastAsia"/>
          <w:szCs w:val="21"/>
        </w:rPr>
        <w:t>数据分析</w:t>
      </w:r>
    </w:p>
    <w:p w:rsidR="002D6786" w:rsidRPr="00BC560D" w:rsidRDefault="002D6786" w:rsidP="002D6786">
      <w:pPr>
        <w:spacing w:line="480" w:lineRule="auto"/>
        <w:ind w:firstLineChars="200" w:firstLine="420"/>
        <w:rPr>
          <w:rFonts w:ascii="宋体" w:eastAsia="宋体" w:hAnsi="宋体"/>
          <w:szCs w:val="21"/>
        </w:rPr>
      </w:pPr>
      <w:r w:rsidRPr="00BC560D">
        <w:rPr>
          <w:rFonts w:ascii="宋体" w:eastAsia="宋体" w:hAnsi="宋体" w:hint="eastAsia"/>
          <w:szCs w:val="21"/>
        </w:rPr>
        <w:t>Western</w:t>
      </w:r>
      <w:r w:rsidRPr="00BC560D">
        <w:rPr>
          <w:rFonts w:ascii="宋体" w:eastAsia="宋体" w:hAnsi="宋体"/>
          <w:szCs w:val="21"/>
        </w:rPr>
        <w:t xml:space="preserve"> B</w:t>
      </w:r>
      <w:r w:rsidRPr="00BC560D">
        <w:rPr>
          <w:rFonts w:ascii="宋体" w:eastAsia="宋体" w:hAnsi="宋体" w:hint="eastAsia"/>
          <w:szCs w:val="21"/>
        </w:rPr>
        <w:t>lot条带利用Image</w:t>
      </w:r>
      <w:r w:rsidRPr="00BC560D">
        <w:rPr>
          <w:rFonts w:ascii="宋体" w:eastAsia="宋体" w:hAnsi="宋体"/>
          <w:szCs w:val="21"/>
        </w:rPr>
        <w:t xml:space="preserve"> J</w:t>
      </w:r>
      <w:r w:rsidRPr="00BC560D">
        <w:rPr>
          <w:rFonts w:ascii="宋体" w:eastAsia="宋体" w:hAnsi="宋体" w:hint="eastAsia"/>
          <w:szCs w:val="21"/>
        </w:rPr>
        <w:t>软件进行图片数据转换，用EXCEL 2016</w:t>
      </w:r>
      <w:r w:rsidRPr="00BC560D">
        <w:rPr>
          <w:rFonts w:ascii="宋体" w:eastAsia="宋体" w:hAnsi="宋体"/>
          <w:szCs w:val="21"/>
        </w:rPr>
        <w:t xml:space="preserve"> </w:t>
      </w:r>
      <w:r w:rsidRPr="00BC560D">
        <w:rPr>
          <w:rFonts w:ascii="宋体" w:eastAsia="宋体" w:hAnsi="宋体" w:hint="eastAsia"/>
          <w:szCs w:val="21"/>
        </w:rPr>
        <w:t>plus和SPSS 22.0统计软件对数据进行分析，差异显著性分析采用新复极差法 (</w:t>
      </w:r>
      <w:r w:rsidRPr="00BC560D">
        <w:rPr>
          <w:rFonts w:ascii="宋体" w:eastAsia="宋体" w:hAnsi="宋体"/>
          <w:szCs w:val="21"/>
        </w:rPr>
        <w:t>Duncan</w:t>
      </w:r>
      <w:r w:rsidRPr="00BC560D">
        <w:rPr>
          <w:rFonts w:ascii="宋体" w:eastAsia="宋体" w:hAnsi="宋体" w:hint="eastAsia"/>
          <w:szCs w:val="21"/>
        </w:rPr>
        <w:t>) 和最小显著差异法 (</w:t>
      </w:r>
      <w:r w:rsidRPr="00BC560D">
        <w:rPr>
          <w:rFonts w:ascii="宋体" w:eastAsia="宋体" w:hAnsi="宋体"/>
          <w:szCs w:val="21"/>
        </w:rPr>
        <w:t>LSD</w:t>
      </w:r>
      <w:r w:rsidRPr="00BC560D">
        <w:rPr>
          <w:rFonts w:ascii="宋体" w:eastAsia="宋体" w:hAnsi="宋体" w:hint="eastAsia"/>
          <w:szCs w:val="21"/>
        </w:rPr>
        <w:t>)。</w:t>
      </w:r>
    </w:p>
    <w:p w:rsidR="002D6786" w:rsidRPr="002D6786" w:rsidRDefault="002D6786" w:rsidP="002D6786">
      <w:pPr>
        <w:spacing w:line="480" w:lineRule="auto"/>
        <w:ind w:firstLineChars="98" w:firstLine="206"/>
        <w:jc w:val="center"/>
        <w:rPr>
          <w:rFonts w:eastAsiaTheme="minorHAnsi"/>
          <w:szCs w:val="21"/>
        </w:rPr>
      </w:pPr>
      <w:r w:rsidRPr="002D6786">
        <w:rPr>
          <w:rFonts w:eastAsiaTheme="minorHAnsi" w:hint="eastAsia"/>
          <w:szCs w:val="21"/>
        </w:rPr>
        <w:t>表1：</w:t>
      </w:r>
      <w:r w:rsidRPr="002D6786">
        <w:rPr>
          <w:rFonts w:eastAsiaTheme="minorHAnsi"/>
          <w:szCs w:val="21"/>
        </w:rPr>
        <w:t xml:space="preserve"> </w:t>
      </w:r>
      <w:r w:rsidRPr="002D6786">
        <w:rPr>
          <w:rFonts w:eastAsiaTheme="minorHAnsi" w:hint="eastAsia"/>
          <w:szCs w:val="21"/>
        </w:rPr>
        <w:t>类胡萝卜素合成途径相关基因实时定量PCR引物</w:t>
      </w:r>
    </w:p>
    <w:tbl>
      <w:tblPr>
        <w:tblStyle w:val="a4"/>
        <w:tblW w:w="10314" w:type="dxa"/>
        <w:tblBorders>
          <w:left w:val="none" w:sz="0" w:space="0" w:color="auto"/>
          <w:right w:val="none" w:sz="0" w:space="0" w:color="auto"/>
          <w:insideV w:val="none" w:sz="0" w:space="0" w:color="auto"/>
        </w:tblBorders>
        <w:tblLook w:val="04A0" w:firstRow="1" w:lastRow="0" w:firstColumn="1" w:lastColumn="0" w:noHBand="0" w:noVBand="1"/>
      </w:tblPr>
      <w:tblGrid>
        <w:gridCol w:w="1822"/>
        <w:gridCol w:w="4079"/>
        <w:gridCol w:w="4413"/>
      </w:tblGrid>
      <w:tr w:rsidR="002D6786" w:rsidRPr="00E01193" w:rsidTr="00763801">
        <w:trPr>
          <w:trHeight w:val="615"/>
        </w:trPr>
        <w:tc>
          <w:tcPr>
            <w:tcW w:w="1822" w:type="dxa"/>
          </w:tcPr>
          <w:p w:rsidR="002D6786" w:rsidRPr="002D6786" w:rsidRDefault="002D6786" w:rsidP="00763801">
            <w:pPr>
              <w:spacing w:line="480" w:lineRule="auto"/>
              <w:ind w:firstLineChars="98" w:firstLine="206"/>
              <w:rPr>
                <w:rFonts w:eastAsiaTheme="minorHAnsi"/>
                <w:szCs w:val="21"/>
              </w:rPr>
            </w:pPr>
            <w:r w:rsidRPr="002D6786">
              <w:rPr>
                <w:rFonts w:eastAsiaTheme="minorHAnsi" w:hint="eastAsia"/>
                <w:szCs w:val="21"/>
              </w:rPr>
              <w:lastRenderedPageBreak/>
              <w:t>基因名称</w:t>
            </w:r>
          </w:p>
        </w:tc>
        <w:tc>
          <w:tcPr>
            <w:tcW w:w="4079" w:type="dxa"/>
          </w:tcPr>
          <w:p w:rsidR="002D6786" w:rsidRPr="002D6786" w:rsidRDefault="002D6786" w:rsidP="00763801">
            <w:pPr>
              <w:spacing w:line="480" w:lineRule="auto"/>
              <w:ind w:firstLineChars="98" w:firstLine="206"/>
              <w:rPr>
                <w:rFonts w:eastAsiaTheme="minorHAnsi"/>
                <w:szCs w:val="21"/>
              </w:rPr>
            </w:pPr>
            <w:r w:rsidRPr="002D6786">
              <w:rPr>
                <w:rFonts w:eastAsiaTheme="minorHAnsi" w:hint="eastAsia"/>
                <w:szCs w:val="21"/>
              </w:rPr>
              <w:t>上游引物</w:t>
            </w:r>
          </w:p>
        </w:tc>
        <w:tc>
          <w:tcPr>
            <w:tcW w:w="4413" w:type="dxa"/>
          </w:tcPr>
          <w:p w:rsidR="002D6786" w:rsidRPr="002D6786" w:rsidRDefault="002D6786" w:rsidP="00763801">
            <w:pPr>
              <w:spacing w:line="480" w:lineRule="auto"/>
              <w:ind w:firstLineChars="98" w:firstLine="206"/>
              <w:rPr>
                <w:rFonts w:eastAsiaTheme="minorHAnsi"/>
                <w:szCs w:val="21"/>
              </w:rPr>
            </w:pPr>
            <w:r w:rsidRPr="002D6786">
              <w:rPr>
                <w:rFonts w:eastAsiaTheme="minorHAnsi" w:hint="eastAsia"/>
                <w:szCs w:val="21"/>
              </w:rPr>
              <w:t>下游引物</w:t>
            </w:r>
          </w:p>
        </w:tc>
      </w:tr>
      <w:tr w:rsidR="002D6786" w:rsidRPr="00E01193" w:rsidTr="00763801">
        <w:trPr>
          <w:trHeight w:val="5610"/>
        </w:trPr>
        <w:tc>
          <w:tcPr>
            <w:tcW w:w="1822" w:type="dxa"/>
          </w:tcPr>
          <w:p w:rsidR="002D6786" w:rsidRPr="004029BC" w:rsidRDefault="002D6786" w:rsidP="00763801">
            <w:pPr>
              <w:spacing w:line="480" w:lineRule="auto"/>
              <w:ind w:firstLineChars="98" w:firstLine="206"/>
              <w:rPr>
                <w:rFonts w:ascii="宋体" w:eastAsia="宋体" w:hAnsi="宋体"/>
                <w:i/>
                <w:szCs w:val="21"/>
              </w:rPr>
            </w:pPr>
            <w:r w:rsidRPr="004029BC">
              <w:rPr>
                <w:rFonts w:ascii="宋体" w:eastAsia="宋体" w:hAnsi="宋体"/>
                <w:i/>
                <w:szCs w:val="21"/>
              </w:rPr>
              <w:t>Actin</w:t>
            </w:r>
          </w:p>
          <w:p w:rsidR="002D6786" w:rsidRDefault="002D6786" w:rsidP="00763801">
            <w:pPr>
              <w:spacing w:line="480" w:lineRule="auto"/>
              <w:ind w:firstLineChars="98" w:firstLine="206"/>
              <w:rPr>
                <w:rFonts w:ascii="宋体" w:eastAsia="宋体" w:hAnsi="宋体"/>
                <w:i/>
                <w:szCs w:val="21"/>
              </w:rPr>
            </w:pPr>
            <w:r>
              <w:rPr>
                <w:rFonts w:ascii="宋体" w:eastAsia="宋体" w:hAnsi="宋体" w:hint="eastAsia"/>
                <w:i/>
                <w:szCs w:val="21"/>
              </w:rPr>
              <w:t>DXS</w:t>
            </w:r>
          </w:p>
          <w:p w:rsidR="002D6786" w:rsidRDefault="002D6786" w:rsidP="00763801">
            <w:pPr>
              <w:spacing w:line="480" w:lineRule="auto"/>
              <w:ind w:firstLineChars="98" w:firstLine="206"/>
              <w:rPr>
                <w:rFonts w:ascii="宋体" w:eastAsia="宋体" w:hAnsi="宋体"/>
                <w:i/>
                <w:szCs w:val="21"/>
              </w:rPr>
            </w:pPr>
            <w:r>
              <w:rPr>
                <w:rFonts w:ascii="宋体" w:eastAsia="宋体" w:hAnsi="宋体" w:hint="eastAsia"/>
                <w:i/>
                <w:szCs w:val="21"/>
              </w:rPr>
              <w:t>DXR</w:t>
            </w:r>
          </w:p>
          <w:p w:rsidR="002D6786" w:rsidRPr="004029BC" w:rsidRDefault="002D6786" w:rsidP="00763801">
            <w:pPr>
              <w:spacing w:line="480" w:lineRule="auto"/>
              <w:ind w:firstLineChars="98" w:firstLine="206"/>
              <w:rPr>
                <w:rFonts w:ascii="宋体" w:eastAsia="宋体" w:hAnsi="宋体"/>
                <w:i/>
                <w:szCs w:val="21"/>
              </w:rPr>
            </w:pPr>
            <w:r>
              <w:rPr>
                <w:rFonts w:ascii="宋体" w:eastAsia="宋体" w:hAnsi="宋体"/>
                <w:i/>
                <w:szCs w:val="21"/>
              </w:rPr>
              <w:t>PSY1</w:t>
            </w:r>
          </w:p>
          <w:p w:rsidR="002D6786" w:rsidRPr="004029BC" w:rsidRDefault="002D6786" w:rsidP="00763801">
            <w:pPr>
              <w:spacing w:line="480" w:lineRule="auto"/>
              <w:ind w:firstLineChars="98" w:firstLine="206"/>
              <w:rPr>
                <w:rFonts w:ascii="宋体" w:eastAsia="宋体" w:hAnsi="宋体"/>
                <w:i/>
                <w:szCs w:val="21"/>
              </w:rPr>
            </w:pPr>
            <w:r>
              <w:rPr>
                <w:rFonts w:ascii="宋体" w:eastAsia="宋体" w:hAnsi="宋体"/>
                <w:i/>
                <w:szCs w:val="21"/>
              </w:rPr>
              <w:t>PSY2</w:t>
            </w:r>
          </w:p>
          <w:p w:rsidR="002D6786" w:rsidRPr="004029BC" w:rsidRDefault="002D6786" w:rsidP="00763801">
            <w:pPr>
              <w:spacing w:line="480" w:lineRule="auto"/>
              <w:ind w:firstLineChars="98" w:firstLine="206"/>
              <w:rPr>
                <w:rFonts w:ascii="宋体" w:eastAsia="宋体" w:hAnsi="宋体"/>
                <w:i/>
                <w:szCs w:val="21"/>
              </w:rPr>
            </w:pPr>
            <w:r>
              <w:rPr>
                <w:rFonts w:ascii="宋体" w:eastAsia="宋体" w:hAnsi="宋体"/>
                <w:i/>
                <w:szCs w:val="21"/>
              </w:rPr>
              <w:t>PDS</w:t>
            </w:r>
          </w:p>
          <w:p w:rsidR="002D6786" w:rsidRPr="004029BC" w:rsidRDefault="002D6786" w:rsidP="00763801">
            <w:pPr>
              <w:spacing w:line="480" w:lineRule="auto"/>
              <w:ind w:firstLineChars="98" w:firstLine="206"/>
              <w:rPr>
                <w:rFonts w:ascii="宋体" w:eastAsia="宋体" w:hAnsi="宋体"/>
                <w:i/>
                <w:szCs w:val="21"/>
              </w:rPr>
            </w:pPr>
            <w:r>
              <w:rPr>
                <w:rFonts w:ascii="宋体" w:eastAsia="宋体" w:hAnsi="宋体"/>
                <w:i/>
                <w:szCs w:val="21"/>
              </w:rPr>
              <w:t>ZDS</w:t>
            </w:r>
          </w:p>
          <w:p w:rsidR="002D6786" w:rsidRPr="004029BC" w:rsidRDefault="002D6786" w:rsidP="00763801">
            <w:pPr>
              <w:spacing w:line="480" w:lineRule="auto"/>
              <w:ind w:firstLineChars="98" w:firstLine="206"/>
              <w:rPr>
                <w:rFonts w:ascii="宋体" w:eastAsia="宋体" w:hAnsi="宋体"/>
                <w:i/>
                <w:szCs w:val="21"/>
              </w:rPr>
            </w:pPr>
            <w:r>
              <w:rPr>
                <w:rFonts w:ascii="宋体" w:eastAsia="宋体" w:hAnsi="宋体"/>
                <w:i/>
                <w:szCs w:val="21"/>
              </w:rPr>
              <w:t>HYD</w:t>
            </w:r>
          </w:p>
          <w:p w:rsidR="002D6786" w:rsidRDefault="002D6786" w:rsidP="00763801">
            <w:pPr>
              <w:spacing w:line="480" w:lineRule="auto"/>
              <w:ind w:firstLineChars="98" w:firstLine="206"/>
              <w:rPr>
                <w:rFonts w:ascii="宋体" w:eastAsia="宋体" w:hAnsi="宋体"/>
                <w:i/>
                <w:szCs w:val="21"/>
              </w:rPr>
            </w:pPr>
            <w:r>
              <w:rPr>
                <w:rFonts w:ascii="宋体" w:eastAsia="宋体" w:hAnsi="宋体"/>
                <w:i/>
                <w:szCs w:val="21"/>
              </w:rPr>
              <w:t>CCD1</w:t>
            </w:r>
          </w:p>
          <w:p w:rsidR="002D6786" w:rsidRDefault="002D6786" w:rsidP="00763801">
            <w:pPr>
              <w:spacing w:line="480" w:lineRule="auto"/>
              <w:ind w:firstLineChars="98" w:firstLine="206"/>
              <w:rPr>
                <w:rFonts w:ascii="宋体" w:eastAsia="宋体" w:hAnsi="宋体"/>
                <w:i/>
                <w:szCs w:val="21"/>
              </w:rPr>
            </w:pPr>
            <w:r>
              <w:rPr>
                <w:rFonts w:ascii="宋体" w:eastAsia="宋体" w:hAnsi="宋体"/>
                <w:i/>
                <w:szCs w:val="21"/>
              </w:rPr>
              <w:t>LYCE</w:t>
            </w:r>
          </w:p>
          <w:p w:rsidR="002D6786" w:rsidRDefault="002D6786" w:rsidP="00763801">
            <w:pPr>
              <w:spacing w:line="480" w:lineRule="auto"/>
              <w:ind w:firstLineChars="98" w:firstLine="206"/>
              <w:rPr>
                <w:rFonts w:ascii="宋体" w:eastAsia="宋体" w:hAnsi="宋体"/>
                <w:i/>
                <w:szCs w:val="21"/>
              </w:rPr>
            </w:pPr>
            <w:r>
              <w:rPr>
                <w:rFonts w:ascii="宋体" w:eastAsia="宋体" w:hAnsi="宋体"/>
                <w:i/>
                <w:szCs w:val="21"/>
              </w:rPr>
              <w:t>LYCB</w:t>
            </w:r>
          </w:p>
          <w:p w:rsidR="00D019CA" w:rsidRDefault="00D019CA" w:rsidP="00763801">
            <w:pPr>
              <w:spacing w:line="480" w:lineRule="auto"/>
              <w:ind w:firstLineChars="98" w:firstLine="206"/>
              <w:rPr>
                <w:rFonts w:ascii="宋体" w:eastAsia="宋体" w:hAnsi="宋体"/>
                <w:i/>
                <w:szCs w:val="21"/>
              </w:rPr>
            </w:pPr>
            <w:r>
              <w:rPr>
                <w:rFonts w:ascii="宋体" w:eastAsia="宋体" w:hAnsi="宋体"/>
                <w:i/>
                <w:szCs w:val="21"/>
              </w:rPr>
              <w:t>ZEP</w:t>
            </w:r>
          </w:p>
          <w:p w:rsidR="00D019CA" w:rsidRDefault="00D019CA" w:rsidP="00763801">
            <w:pPr>
              <w:spacing w:line="480" w:lineRule="auto"/>
              <w:ind w:firstLineChars="98" w:firstLine="206"/>
              <w:rPr>
                <w:rFonts w:ascii="宋体" w:eastAsia="宋体" w:hAnsi="宋体"/>
                <w:i/>
                <w:szCs w:val="21"/>
              </w:rPr>
            </w:pPr>
            <w:r>
              <w:rPr>
                <w:rFonts w:ascii="宋体" w:eastAsia="宋体" w:hAnsi="宋体"/>
                <w:i/>
                <w:szCs w:val="21"/>
              </w:rPr>
              <w:t>NCED2</w:t>
            </w:r>
          </w:p>
          <w:p w:rsidR="00D019CA" w:rsidRDefault="00D019CA" w:rsidP="00763801">
            <w:pPr>
              <w:spacing w:line="480" w:lineRule="auto"/>
              <w:ind w:firstLineChars="98" w:firstLine="206"/>
              <w:rPr>
                <w:rFonts w:ascii="宋体" w:eastAsia="宋体" w:hAnsi="宋体"/>
                <w:i/>
                <w:szCs w:val="21"/>
              </w:rPr>
            </w:pPr>
            <w:r>
              <w:rPr>
                <w:rFonts w:ascii="宋体" w:eastAsia="宋体" w:hAnsi="宋体"/>
                <w:i/>
                <w:szCs w:val="21"/>
              </w:rPr>
              <w:t>NCED3</w:t>
            </w:r>
          </w:p>
          <w:p w:rsidR="00D019CA" w:rsidRPr="004029BC" w:rsidRDefault="00D019CA" w:rsidP="00763801">
            <w:pPr>
              <w:spacing w:line="480" w:lineRule="auto"/>
              <w:ind w:firstLineChars="98" w:firstLine="206"/>
              <w:rPr>
                <w:rFonts w:ascii="宋体" w:eastAsia="宋体" w:hAnsi="宋体"/>
                <w:i/>
                <w:szCs w:val="21"/>
              </w:rPr>
            </w:pPr>
            <w:r>
              <w:rPr>
                <w:rFonts w:ascii="宋体" w:eastAsia="宋体" w:hAnsi="宋体"/>
                <w:i/>
                <w:szCs w:val="21"/>
              </w:rPr>
              <w:t>OR</w:t>
            </w:r>
          </w:p>
        </w:tc>
        <w:tc>
          <w:tcPr>
            <w:tcW w:w="4079" w:type="dxa"/>
          </w:tcPr>
          <w:p w:rsidR="002D6786" w:rsidRPr="001841A4" w:rsidRDefault="002D6786" w:rsidP="00763801">
            <w:pPr>
              <w:spacing w:line="480" w:lineRule="auto"/>
              <w:ind w:firstLineChars="98" w:firstLine="206"/>
              <w:rPr>
                <w:rFonts w:ascii="Times New Roman" w:eastAsia="宋体" w:hAnsi="Times New Roman" w:cs="Times New Roman"/>
                <w:color w:val="000000"/>
                <w:szCs w:val="21"/>
              </w:rPr>
            </w:pPr>
            <w:r w:rsidRPr="001841A4">
              <w:rPr>
                <w:rFonts w:ascii="Times New Roman" w:eastAsia="宋体" w:hAnsi="Times New Roman" w:cs="Times New Roman"/>
                <w:color w:val="000000"/>
                <w:szCs w:val="21"/>
              </w:rPr>
              <w:t>TGATGAGTCTGGTCCATCCA</w:t>
            </w:r>
          </w:p>
          <w:p w:rsidR="002D6786" w:rsidRDefault="002D6786" w:rsidP="00763801">
            <w:pPr>
              <w:spacing w:line="480" w:lineRule="auto"/>
              <w:ind w:firstLineChars="98" w:firstLine="206"/>
              <w:rPr>
                <w:rFonts w:ascii="Times New Roman" w:eastAsia="宋体" w:hAnsi="Times New Roman"/>
                <w:szCs w:val="21"/>
              </w:rPr>
            </w:pPr>
            <w:r w:rsidRPr="002D6786">
              <w:rPr>
                <w:rFonts w:ascii="Times New Roman" w:eastAsia="宋体" w:hAnsi="Times New Roman"/>
                <w:szCs w:val="21"/>
              </w:rPr>
              <w:t>GACCGAGATGTAAAGCCAGA</w:t>
            </w:r>
          </w:p>
          <w:p w:rsidR="002D6786" w:rsidRDefault="002D6786" w:rsidP="00763801">
            <w:pPr>
              <w:spacing w:line="480" w:lineRule="auto"/>
              <w:ind w:firstLineChars="98" w:firstLine="206"/>
              <w:rPr>
                <w:rFonts w:ascii="Times New Roman" w:eastAsia="宋体" w:hAnsi="Times New Roman"/>
                <w:szCs w:val="21"/>
              </w:rPr>
            </w:pPr>
            <w:r w:rsidRPr="002D6786">
              <w:rPr>
                <w:rFonts w:ascii="Times New Roman" w:eastAsia="宋体" w:hAnsi="Times New Roman"/>
                <w:szCs w:val="21"/>
              </w:rPr>
              <w:t>ATATGCTTTCCCCTGCTGA</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CCGACGAGACGGCCATT</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GCAGCATCAAGCATATCAAAGG</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CGTGAATTTAGCCGGACTTC</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TGATAACATCAGTGCCCGTTGT</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TGGCACGTTGGCAATGG</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GGAGGTAGAGAAGAAGCAAGGAAA</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GACAGAGTCGACCCAAGGAATC</w:t>
            </w:r>
          </w:p>
          <w:p w:rsidR="00D019CA"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 xml:space="preserve">CTAGTTGCTCGGCCTGGAGTA </w:t>
            </w:r>
          </w:p>
          <w:p w:rsidR="00D019CA" w:rsidRDefault="00D019CA" w:rsidP="00763801">
            <w:pPr>
              <w:spacing w:line="480" w:lineRule="auto"/>
              <w:ind w:firstLineChars="98" w:firstLine="206"/>
              <w:rPr>
                <w:rFonts w:ascii="Times New Roman" w:eastAsia="宋体" w:hAnsi="Times New Roman"/>
                <w:szCs w:val="21"/>
              </w:rPr>
            </w:pPr>
            <w:r w:rsidRPr="00D019CA">
              <w:rPr>
                <w:rFonts w:ascii="Times New Roman" w:eastAsia="宋体" w:hAnsi="Times New Roman"/>
                <w:szCs w:val="21"/>
              </w:rPr>
              <w:t>CCTACTGTGACCGAATCAAATG</w:t>
            </w:r>
          </w:p>
          <w:p w:rsidR="00D019CA" w:rsidRDefault="00D019CA" w:rsidP="00763801">
            <w:pPr>
              <w:spacing w:line="480" w:lineRule="auto"/>
              <w:ind w:firstLineChars="98" w:firstLine="206"/>
              <w:rPr>
                <w:rFonts w:ascii="Times New Roman" w:eastAsia="宋体" w:hAnsi="Times New Roman"/>
                <w:szCs w:val="21"/>
              </w:rPr>
            </w:pPr>
            <w:r>
              <w:rPr>
                <w:rFonts w:ascii="Times New Roman" w:eastAsia="宋体" w:hAnsi="Times New Roman"/>
                <w:szCs w:val="21"/>
              </w:rPr>
              <w:t>GAGGGATTGCTTGCAGAT</w:t>
            </w:r>
            <w:r w:rsidRPr="00D019CA">
              <w:rPr>
                <w:rFonts w:ascii="Times New Roman" w:eastAsia="宋体" w:hAnsi="Times New Roman"/>
                <w:szCs w:val="21"/>
              </w:rPr>
              <w:t>ACG</w:t>
            </w:r>
          </w:p>
          <w:p w:rsidR="00D019CA" w:rsidRDefault="00D019CA" w:rsidP="00763801">
            <w:pPr>
              <w:spacing w:line="480" w:lineRule="auto"/>
              <w:ind w:firstLineChars="98" w:firstLine="206"/>
              <w:rPr>
                <w:rFonts w:ascii="Times New Roman" w:eastAsia="宋体" w:hAnsi="Times New Roman"/>
                <w:szCs w:val="21"/>
              </w:rPr>
            </w:pPr>
            <w:r w:rsidRPr="00D019CA">
              <w:rPr>
                <w:rFonts w:ascii="Times New Roman" w:eastAsia="宋体" w:hAnsi="Times New Roman"/>
                <w:szCs w:val="21"/>
              </w:rPr>
              <w:t>TGGGATGGTTCATGCTGTCC</w:t>
            </w:r>
          </w:p>
          <w:p w:rsidR="002D6786" w:rsidRPr="001841A4" w:rsidRDefault="00D019CA" w:rsidP="00763801">
            <w:pPr>
              <w:spacing w:line="480" w:lineRule="auto"/>
              <w:ind w:firstLineChars="98" w:firstLine="206"/>
              <w:rPr>
                <w:rFonts w:ascii="Times New Roman" w:eastAsia="宋体" w:hAnsi="Times New Roman"/>
                <w:szCs w:val="21"/>
              </w:rPr>
            </w:pPr>
            <w:r w:rsidRPr="00D019CA">
              <w:rPr>
                <w:rFonts w:ascii="Times New Roman" w:eastAsia="宋体" w:hAnsi="Times New Roman"/>
                <w:szCs w:val="21"/>
              </w:rPr>
              <w:t>ACTGAGCTTGTCCGGTTCTC</w:t>
            </w:r>
            <w:r w:rsidR="002D6786" w:rsidRPr="001841A4">
              <w:rPr>
                <w:rFonts w:ascii="Times New Roman" w:eastAsia="宋体" w:hAnsi="Times New Roman"/>
                <w:szCs w:val="21"/>
              </w:rPr>
              <w:t xml:space="preserve">    </w:t>
            </w:r>
          </w:p>
        </w:tc>
        <w:tc>
          <w:tcPr>
            <w:tcW w:w="4413" w:type="dxa"/>
          </w:tcPr>
          <w:p w:rsidR="002D6786" w:rsidRPr="001841A4" w:rsidRDefault="002D6786" w:rsidP="00763801">
            <w:pPr>
              <w:spacing w:line="480" w:lineRule="auto"/>
              <w:ind w:firstLineChars="98" w:firstLine="206"/>
              <w:rPr>
                <w:rFonts w:ascii="Times New Roman" w:eastAsia="宋体" w:hAnsi="Times New Roman" w:cs="Times New Roman"/>
                <w:color w:val="000000"/>
                <w:szCs w:val="21"/>
              </w:rPr>
            </w:pPr>
            <w:r w:rsidRPr="001841A4">
              <w:rPr>
                <w:rFonts w:ascii="Times New Roman" w:eastAsia="宋体" w:hAnsi="Times New Roman" w:cs="Times New Roman"/>
                <w:color w:val="000000"/>
                <w:szCs w:val="21"/>
              </w:rPr>
              <w:t>CCTCCTACGACCCAATCTCA</w:t>
            </w:r>
          </w:p>
          <w:p w:rsidR="002D6786" w:rsidRDefault="002D6786" w:rsidP="00763801">
            <w:pPr>
              <w:spacing w:line="480" w:lineRule="auto"/>
              <w:ind w:firstLineChars="98" w:firstLine="206"/>
              <w:rPr>
                <w:rFonts w:ascii="Times New Roman" w:eastAsia="宋体" w:hAnsi="Times New Roman"/>
                <w:szCs w:val="21"/>
              </w:rPr>
            </w:pPr>
            <w:r w:rsidRPr="002D6786">
              <w:rPr>
                <w:rFonts w:ascii="Times New Roman" w:eastAsia="宋体" w:hAnsi="Times New Roman"/>
                <w:szCs w:val="21"/>
              </w:rPr>
              <w:t>CGCACCAGTGGACAAGATAC</w:t>
            </w:r>
          </w:p>
          <w:p w:rsidR="002D6786" w:rsidRDefault="002D6786" w:rsidP="00763801">
            <w:pPr>
              <w:spacing w:line="480" w:lineRule="auto"/>
              <w:ind w:firstLineChars="98" w:firstLine="206"/>
              <w:rPr>
                <w:rFonts w:ascii="Times New Roman" w:eastAsia="宋体" w:hAnsi="Times New Roman"/>
                <w:szCs w:val="21"/>
              </w:rPr>
            </w:pPr>
            <w:r w:rsidRPr="002D6786">
              <w:rPr>
                <w:rFonts w:ascii="Times New Roman" w:eastAsia="宋体" w:hAnsi="Times New Roman"/>
                <w:szCs w:val="21"/>
              </w:rPr>
              <w:t>GCTGCCCCAAAATCCTT</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CATAGGATTAGGTAGTGGAAGCAATTTA</w:t>
            </w:r>
          </w:p>
          <w:p w:rsidR="002D6786" w:rsidRPr="00B31359"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TGGGAAGCAAGGTTGGAAGA</w:t>
            </w:r>
          </w:p>
          <w:p w:rsidR="002D6786"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GCTTTGCATGCCAATTGTTG</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CCTCCGTCTTAGTGGCAAACA</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TTGTACACGATGGTCTTGTTCACA</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TCACCTCCACGATCGGAACT</w:t>
            </w:r>
          </w:p>
          <w:p w:rsidR="002D6786" w:rsidRPr="001841A4"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CTTCCATACTTTCTTCCGCTTACC</w:t>
            </w:r>
          </w:p>
          <w:p w:rsidR="002D6786" w:rsidRDefault="002D6786" w:rsidP="00763801">
            <w:pPr>
              <w:spacing w:line="480" w:lineRule="auto"/>
              <w:ind w:firstLineChars="98" w:firstLine="206"/>
              <w:rPr>
                <w:rFonts w:ascii="Times New Roman" w:eastAsia="宋体" w:hAnsi="Times New Roman"/>
                <w:szCs w:val="21"/>
              </w:rPr>
            </w:pPr>
            <w:r w:rsidRPr="001841A4">
              <w:rPr>
                <w:rFonts w:ascii="Times New Roman" w:eastAsia="宋体" w:hAnsi="Times New Roman"/>
                <w:szCs w:val="21"/>
              </w:rPr>
              <w:t>CTTAATCTAGCCACCATCCTTTCC</w:t>
            </w:r>
          </w:p>
          <w:p w:rsidR="00D019CA" w:rsidRDefault="00D019CA" w:rsidP="00763801">
            <w:pPr>
              <w:spacing w:line="480" w:lineRule="auto"/>
              <w:ind w:firstLineChars="98" w:firstLine="206"/>
              <w:rPr>
                <w:rFonts w:ascii="Times New Roman" w:eastAsia="宋体" w:hAnsi="Times New Roman"/>
                <w:szCs w:val="21"/>
              </w:rPr>
            </w:pPr>
            <w:r w:rsidRPr="00D019CA">
              <w:rPr>
                <w:rFonts w:ascii="Times New Roman" w:eastAsia="宋体" w:hAnsi="Times New Roman"/>
                <w:szCs w:val="21"/>
              </w:rPr>
              <w:t>AAAACCAGCCCGCCAAT</w:t>
            </w:r>
          </w:p>
          <w:p w:rsidR="00D019CA" w:rsidRDefault="00D019CA" w:rsidP="00763801">
            <w:pPr>
              <w:spacing w:line="480" w:lineRule="auto"/>
              <w:ind w:firstLineChars="98" w:firstLine="206"/>
              <w:rPr>
                <w:rFonts w:ascii="Times New Roman" w:eastAsia="宋体" w:hAnsi="Times New Roman"/>
                <w:szCs w:val="21"/>
              </w:rPr>
            </w:pPr>
            <w:r>
              <w:rPr>
                <w:rFonts w:ascii="Times New Roman" w:eastAsia="宋体" w:hAnsi="Times New Roman"/>
                <w:szCs w:val="21"/>
              </w:rPr>
              <w:t>CAAATAAAAAACGAACCCAGAAAA</w:t>
            </w:r>
            <w:r w:rsidRPr="00D019CA">
              <w:rPr>
                <w:rFonts w:ascii="Times New Roman" w:eastAsia="宋体" w:hAnsi="Times New Roman"/>
                <w:szCs w:val="21"/>
              </w:rPr>
              <w:t>A</w:t>
            </w:r>
          </w:p>
          <w:p w:rsidR="00D019CA" w:rsidRDefault="00D019CA" w:rsidP="00763801">
            <w:pPr>
              <w:spacing w:line="480" w:lineRule="auto"/>
              <w:ind w:firstLineChars="98" w:firstLine="206"/>
              <w:rPr>
                <w:rFonts w:ascii="Times New Roman" w:eastAsia="宋体" w:hAnsi="Times New Roman"/>
                <w:szCs w:val="21"/>
              </w:rPr>
            </w:pPr>
            <w:r w:rsidRPr="00D019CA">
              <w:rPr>
                <w:rFonts w:ascii="Times New Roman" w:eastAsia="宋体" w:hAnsi="Times New Roman"/>
                <w:szCs w:val="21"/>
              </w:rPr>
              <w:t>TATCCCAGAGTGGCCATGGA</w:t>
            </w:r>
          </w:p>
          <w:p w:rsidR="00D019CA" w:rsidRPr="001841A4" w:rsidRDefault="00D019CA" w:rsidP="00763801">
            <w:pPr>
              <w:spacing w:line="480" w:lineRule="auto"/>
              <w:ind w:firstLineChars="98" w:firstLine="206"/>
              <w:rPr>
                <w:rFonts w:ascii="Times New Roman" w:eastAsia="宋体" w:hAnsi="Times New Roman"/>
                <w:szCs w:val="21"/>
              </w:rPr>
            </w:pPr>
            <w:r w:rsidRPr="00D019CA">
              <w:rPr>
                <w:rFonts w:ascii="Times New Roman" w:eastAsia="宋体" w:hAnsi="Times New Roman"/>
                <w:szCs w:val="21"/>
              </w:rPr>
              <w:t>CAAAATCCAGCGGCGTTA</w:t>
            </w:r>
          </w:p>
        </w:tc>
      </w:tr>
    </w:tbl>
    <w:p w:rsidR="00B21DF4" w:rsidRPr="00BC560D" w:rsidRDefault="00D019CA" w:rsidP="00D019CA">
      <w:pPr>
        <w:pStyle w:val="a3"/>
        <w:numPr>
          <w:ilvl w:val="0"/>
          <w:numId w:val="1"/>
        </w:numPr>
        <w:ind w:firstLineChars="0"/>
        <w:rPr>
          <w:rFonts w:ascii="黑体" w:eastAsia="黑体" w:hAnsi="黑体"/>
          <w:sz w:val="28"/>
          <w:szCs w:val="28"/>
        </w:rPr>
      </w:pPr>
      <w:r w:rsidRPr="00BC560D">
        <w:rPr>
          <w:rFonts w:ascii="黑体" w:eastAsia="黑体" w:hAnsi="黑体" w:hint="eastAsia"/>
          <w:sz w:val="28"/>
          <w:szCs w:val="28"/>
        </w:rPr>
        <w:t>结果与分析</w:t>
      </w:r>
    </w:p>
    <w:p w:rsidR="00C8180E" w:rsidRPr="00BC560D" w:rsidRDefault="00C8180E" w:rsidP="00C8180E">
      <w:pPr>
        <w:pStyle w:val="a3"/>
        <w:numPr>
          <w:ilvl w:val="1"/>
          <w:numId w:val="1"/>
        </w:numPr>
        <w:ind w:firstLineChars="0"/>
        <w:rPr>
          <w:rFonts w:ascii="黑体" w:eastAsia="黑体" w:hAnsi="黑体"/>
          <w:szCs w:val="21"/>
        </w:rPr>
      </w:pPr>
      <w:r w:rsidRPr="00BC560D">
        <w:rPr>
          <w:rFonts w:ascii="黑体" w:eastAsia="黑体" w:hAnsi="黑体" w:hint="eastAsia"/>
          <w:szCs w:val="21"/>
        </w:rPr>
        <w:t>不同时期四个</w:t>
      </w:r>
      <w:r w:rsidR="002A551A" w:rsidRPr="00BC560D">
        <w:rPr>
          <w:rFonts w:ascii="黑体" w:eastAsia="黑体" w:hAnsi="黑体" w:hint="eastAsia"/>
          <w:szCs w:val="21"/>
        </w:rPr>
        <w:t>木薯</w:t>
      </w:r>
      <w:r w:rsidRPr="00BC560D">
        <w:rPr>
          <w:rFonts w:ascii="黑体" w:eastAsia="黑体" w:hAnsi="黑体" w:hint="eastAsia"/>
          <w:szCs w:val="21"/>
        </w:rPr>
        <w:t>品种</w:t>
      </w:r>
      <w:r w:rsidR="002A551A" w:rsidRPr="00BC560D">
        <w:rPr>
          <w:rFonts w:ascii="黑体" w:eastAsia="黑体" w:hAnsi="黑体" w:hint="eastAsia"/>
          <w:szCs w:val="21"/>
        </w:rPr>
        <w:t>（系）</w:t>
      </w:r>
      <w:r w:rsidRPr="00BC560D">
        <w:rPr>
          <w:rFonts w:ascii="黑体" w:eastAsia="黑体" w:hAnsi="黑体" w:hint="eastAsia"/>
          <w:szCs w:val="21"/>
        </w:rPr>
        <w:t>β-胡萝卜素含量</w:t>
      </w:r>
      <w:r w:rsidR="002A551A" w:rsidRPr="00BC560D">
        <w:rPr>
          <w:rFonts w:ascii="黑体" w:eastAsia="黑体" w:hAnsi="黑体" w:hint="eastAsia"/>
          <w:szCs w:val="21"/>
        </w:rPr>
        <w:t>分析</w:t>
      </w:r>
    </w:p>
    <w:p w:rsidR="00C8180E" w:rsidRPr="00BC560D" w:rsidRDefault="00716EBB" w:rsidP="00BC560D">
      <w:pPr>
        <w:spacing w:line="360" w:lineRule="auto"/>
        <w:rPr>
          <w:rFonts w:ascii="宋体" w:eastAsia="宋体" w:hAnsi="宋体"/>
          <w:szCs w:val="21"/>
        </w:rPr>
      </w:pPr>
      <w:r w:rsidRPr="00BC560D">
        <w:rPr>
          <w:rFonts w:ascii="宋体" w:eastAsia="宋体" w:hAnsi="宋体" w:hint="eastAsia"/>
          <w:szCs w:val="21"/>
        </w:rPr>
        <w:t>四个木薯品种</w:t>
      </w:r>
      <w:r w:rsidR="002A551A" w:rsidRPr="00BC560D">
        <w:rPr>
          <w:rFonts w:ascii="宋体" w:eastAsia="宋体" w:hAnsi="宋体" w:hint="eastAsia"/>
          <w:szCs w:val="21"/>
        </w:rPr>
        <w:t>（系）</w:t>
      </w:r>
      <w:r w:rsidRPr="00BC560D">
        <w:rPr>
          <w:rFonts w:ascii="宋体" w:eastAsia="宋体" w:hAnsi="宋体" w:hint="eastAsia"/>
          <w:szCs w:val="21"/>
        </w:rPr>
        <w:t>不同时期β</w:t>
      </w:r>
      <w:r w:rsidR="002A551A" w:rsidRPr="00BC560D">
        <w:rPr>
          <w:rFonts w:ascii="宋体" w:eastAsia="宋体" w:hAnsi="宋体" w:hint="eastAsia"/>
          <w:szCs w:val="21"/>
        </w:rPr>
        <w:t>-</w:t>
      </w:r>
      <w:r w:rsidRPr="00BC560D">
        <w:rPr>
          <w:rFonts w:ascii="宋体" w:eastAsia="宋体" w:hAnsi="宋体" w:hint="eastAsia"/>
          <w:szCs w:val="21"/>
        </w:rPr>
        <w:t>胡萝卜素含量的变化如图</w:t>
      </w:r>
      <w:r w:rsidR="002A551A" w:rsidRPr="00BC560D">
        <w:rPr>
          <w:rFonts w:ascii="宋体" w:eastAsia="宋体" w:hAnsi="宋体" w:hint="eastAsia"/>
          <w:szCs w:val="21"/>
        </w:rPr>
        <w:t>2</w:t>
      </w:r>
      <w:r w:rsidRPr="00BC560D">
        <w:rPr>
          <w:rFonts w:ascii="宋体" w:eastAsia="宋体" w:hAnsi="宋体" w:hint="eastAsia"/>
          <w:szCs w:val="21"/>
        </w:rPr>
        <w:t>所示</w:t>
      </w:r>
    </w:p>
    <w:p w:rsidR="00974626" w:rsidRPr="00BC560D" w:rsidRDefault="00771060" w:rsidP="00BC560D">
      <w:pPr>
        <w:spacing w:line="360" w:lineRule="auto"/>
        <w:ind w:firstLineChars="300" w:firstLine="630"/>
        <w:rPr>
          <w:rFonts w:ascii="宋体" w:eastAsia="宋体" w:hAnsi="宋体"/>
          <w:szCs w:val="21"/>
        </w:rPr>
      </w:pPr>
      <w:r w:rsidRPr="00BC560D">
        <w:rPr>
          <w:rFonts w:ascii="宋体" w:eastAsia="宋体" w:hAnsi="宋体"/>
          <w:noProof/>
          <w:szCs w:val="21"/>
        </w:rPr>
        <w:lastRenderedPageBreak/>
        <w:drawing>
          <wp:inline distT="0" distB="0" distL="0" distR="0" wp14:anchorId="70E721C0" wp14:editId="6E06C340">
            <wp:extent cx="4572000" cy="2743200"/>
            <wp:effectExtent l="0" t="0" r="0" b="0"/>
            <wp:docPr id="23" name="图表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716EBB" w:rsidRPr="00BC560D" w:rsidRDefault="002A2C89" w:rsidP="00BC560D">
      <w:pPr>
        <w:spacing w:line="360" w:lineRule="auto"/>
        <w:jc w:val="center"/>
        <w:rPr>
          <w:rFonts w:ascii="宋体" w:eastAsia="宋体" w:hAnsi="宋体"/>
          <w:sz w:val="15"/>
          <w:szCs w:val="15"/>
        </w:rPr>
      </w:pPr>
      <w:r w:rsidRPr="00BC560D">
        <w:rPr>
          <w:rFonts w:ascii="宋体" w:eastAsia="宋体" w:hAnsi="宋体" w:hint="eastAsia"/>
          <w:szCs w:val="21"/>
        </w:rPr>
        <w:t xml:space="preserve">  </w:t>
      </w:r>
      <w:r w:rsidRPr="00BC560D">
        <w:rPr>
          <w:rFonts w:ascii="宋体" w:eastAsia="宋体" w:hAnsi="宋体" w:hint="eastAsia"/>
          <w:sz w:val="15"/>
          <w:szCs w:val="15"/>
        </w:rPr>
        <w:t xml:space="preserve"> </w:t>
      </w:r>
      <w:r w:rsidR="00716EBB" w:rsidRPr="00BC560D">
        <w:rPr>
          <w:rFonts w:ascii="宋体" w:eastAsia="宋体" w:hAnsi="宋体" w:hint="eastAsia"/>
          <w:sz w:val="15"/>
          <w:szCs w:val="15"/>
        </w:rPr>
        <w:t>图</w:t>
      </w:r>
      <w:r w:rsidR="00CF57DE" w:rsidRPr="00BC560D">
        <w:rPr>
          <w:rFonts w:ascii="宋体" w:eastAsia="宋体" w:hAnsi="宋体" w:hint="eastAsia"/>
          <w:sz w:val="15"/>
          <w:szCs w:val="15"/>
        </w:rPr>
        <w:t>2</w:t>
      </w:r>
      <w:r w:rsidR="00716EBB" w:rsidRPr="00BC560D">
        <w:rPr>
          <w:rFonts w:ascii="宋体" w:eastAsia="宋体" w:hAnsi="宋体"/>
          <w:sz w:val="15"/>
          <w:szCs w:val="15"/>
        </w:rPr>
        <w:t xml:space="preserve"> </w:t>
      </w:r>
      <w:r w:rsidR="00716EBB" w:rsidRPr="00BC560D">
        <w:rPr>
          <w:rFonts w:ascii="宋体" w:eastAsia="宋体" w:hAnsi="宋体" w:hint="eastAsia"/>
          <w:sz w:val="15"/>
          <w:szCs w:val="15"/>
        </w:rPr>
        <w:t>四个木薯品种不同时期β</w:t>
      </w:r>
      <w:r w:rsidR="00197954" w:rsidRPr="00BC560D">
        <w:rPr>
          <w:rFonts w:ascii="宋体" w:eastAsia="宋体" w:hAnsi="宋体" w:hint="eastAsia"/>
          <w:sz w:val="15"/>
          <w:szCs w:val="15"/>
        </w:rPr>
        <w:t>-</w:t>
      </w:r>
      <w:r w:rsidR="00716EBB" w:rsidRPr="00BC560D">
        <w:rPr>
          <w:rFonts w:ascii="宋体" w:eastAsia="宋体" w:hAnsi="宋体" w:hint="eastAsia"/>
          <w:sz w:val="15"/>
          <w:szCs w:val="15"/>
        </w:rPr>
        <w:t>类胡萝卜素含量</w:t>
      </w:r>
    </w:p>
    <w:p w:rsidR="008D7AB3" w:rsidRPr="00BC560D" w:rsidRDefault="007956FA" w:rsidP="00BC560D">
      <w:pPr>
        <w:spacing w:line="360" w:lineRule="auto"/>
        <w:rPr>
          <w:rFonts w:ascii="宋体" w:eastAsia="宋体" w:hAnsi="宋体"/>
          <w:szCs w:val="21"/>
        </w:rPr>
      </w:pPr>
      <w:r w:rsidRPr="00BC560D">
        <w:rPr>
          <w:rFonts w:ascii="宋体" w:eastAsia="宋体" w:hAnsi="宋体" w:hint="eastAsia"/>
          <w:szCs w:val="21"/>
        </w:rPr>
        <w:t>在四个木薯品种</w:t>
      </w:r>
      <w:r w:rsidR="00F50C52" w:rsidRPr="00BC560D">
        <w:rPr>
          <w:rFonts w:ascii="宋体" w:eastAsia="宋体" w:hAnsi="宋体" w:hint="eastAsia"/>
          <w:szCs w:val="21"/>
        </w:rPr>
        <w:t>（系）</w:t>
      </w:r>
      <w:r w:rsidRPr="00BC560D">
        <w:rPr>
          <w:rFonts w:ascii="宋体" w:eastAsia="宋体" w:hAnsi="宋体" w:hint="eastAsia"/>
          <w:szCs w:val="21"/>
        </w:rPr>
        <w:t>膨大期、成熟期中，SC9</w:t>
      </w:r>
      <w:r w:rsidR="00F50C52" w:rsidRPr="00BC560D">
        <w:rPr>
          <w:rFonts w:ascii="宋体" w:eastAsia="宋体" w:hAnsi="宋体" w:hint="eastAsia"/>
          <w:szCs w:val="21"/>
        </w:rPr>
        <w:t>的β-胡萝卜素含量</w:t>
      </w:r>
      <w:r w:rsidRPr="00BC560D">
        <w:rPr>
          <w:rFonts w:ascii="宋体" w:eastAsia="宋体" w:hAnsi="宋体" w:hint="eastAsia"/>
          <w:szCs w:val="21"/>
        </w:rPr>
        <w:t>显著高于S</w:t>
      </w:r>
      <w:r w:rsidRPr="00BC560D">
        <w:rPr>
          <w:rFonts w:ascii="宋体" w:eastAsia="宋体" w:hAnsi="宋体"/>
          <w:szCs w:val="21"/>
        </w:rPr>
        <w:t>C6068</w:t>
      </w:r>
      <w:r w:rsidRPr="00BC560D">
        <w:rPr>
          <w:rFonts w:ascii="宋体" w:eastAsia="宋体" w:hAnsi="宋体" w:hint="eastAsia"/>
          <w:szCs w:val="21"/>
        </w:rPr>
        <w:t>、BGM101、粉红木薯</w:t>
      </w:r>
      <w:proofErr w:type="spellStart"/>
      <w:r w:rsidRPr="00BC560D">
        <w:rPr>
          <w:rFonts w:ascii="宋体" w:eastAsia="宋体" w:hAnsi="宋体" w:hint="eastAsia"/>
          <w:szCs w:val="21"/>
        </w:rPr>
        <w:t>Mirasol</w:t>
      </w:r>
      <w:proofErr w:type="spellEnd"/>
      <w:r w:rsidRPr="00BC560D">
        <w:rPr>
          <w:rFonts w:ascii="宋体" w:eastAsia="宋体" w:hAnsi="宋体" w:hint="eastAsia"/>
          <w:szCs w:val="21"/>
        </w:rPr>
        <w:t>。在膨大期及成熟期中，β-胡萝卜素的含量从高到低依次为SC9&gt;紫叶黄心木薯&gt;SC6068&gt;粉红木薯</w:t>
      </w:r>
      <w:proofErr w:type="spellStart"/>
      <w:r w:rsidRPr="00BC560D">
        <w:rPr>
          <w:rFonts w:ascii="宋体" w:eastAsia="宋体" w:hAnsi="宋体" w:hint="eastAsia"/>
          <w:szCs w:val="21"/>
        </w:rPr>
        <w:t>Mirasol</w:t>
      </w:r>
      <w:proofErr w:type="spellEnd"/>
      <w:r w:rsidRPr="00BC560D">
        <w:rPr>
          <w:rFonts w:ascii="宋体" w:eastAsia="宋体" w:hAnsi="宋体" w:hint="eastAsia"/>
          <w:szCs w:val="21"/>
        </w:rPr>
        <w:t>，且膨大期SC9及紫叶黄心木薯</w:t>
      </w:r>
      <w:r w:rsidR="00716EBB" w:rsidRPr="00BC560D">
        <w:rPr>
          <w:rFonts w:ascii="宋体" w:eastAsia="宋体" w:hAnsi="宋体" w:hint="eastAsia"/>
          <w:szCs w:val="21"/>
        </w:rPr>
        <w:t>的</w:t>
      </w:r>
      <w:r w:rsidRPr="00BC560D">
        <w:rPr>
          <w:rFonts w:ascii="宋体" w:eastAsia="宋体" w:hAnsi="宋体" w:hint="eastAsia"/>
          <w:szCs w:val="21"/>
        </w:rPr>
        <w:t>β</w:t>
      </w:r>
      <w:r w:rsidR="00F50C52" w:rsidRPr="00BC560D">
        <w:rPr>
          <w:rFonts w:ascii="宋体" w:eastAsia="宋体" w:hAnsi="宋体" w:hint="eastAsia"/>
          <w:szCs w:val="21"/>
        </w:rPr>
        <w:t>-</w:t>
      </w:r>
      <w:r w:rsidRPr="00BC560D">
        <w:rPr>
          <w:rFonts w:ascii="宋体" w:eastAsia="宋体" w:hAnsi="宋体" w:hint="eastAsia"/>
          <w:szCs w:val="21"/>
        </w:rPr>
        <w:t>胡萝卜素含量显著低于成熟期，</w:t>
      </w:r>
      <w:r w:rsidR="00716EBB" w:rsidRPr="00BC560D">
        <w:rPr>
          <w:rFonts w:ascii="宋体" w:eastAsia="宋体" w:hAnsi="宋体" w:hint="eastAsia"/>
          <w:szCs w:val="21"/>
        </w:rPr>
        <w:t>但成熟期SC6068的β</w:t>
      </w:r>
      <w:r w:rsidR="00F50C52" w:rsidRPr="00BC560D">
        <w:rPr>
          <w:rFonts w:ascii="宋体" w:eastAsia="宋体" w:hAnsi="宋体" w:hint="eastAsia"/>
          <w:szCs w:val="21"/>
        </w:rPr>
        <w:t>-</w:t>
      </w:r>
      <w:r w:rsidR="00716EBB" w:rsidRPr="00BC560D">
        <w:rPr>
          <w:rFonts w:ascii="宋体" w:eastAsia="宋体" w:hAnsi="宋体" w:hint="eastAsia"/>
          <w:szCs w:val="21"/>
        </w:rPr>
        <w:t>胡萝卜素含量显著低于膨大期</w:t>
      </w:r>
      <w:r w:rsidR="00F50C52" w:rsidRPr="00BC560D">
        <w:rPr>
          <w:rFonts w:ascii="宋体" w:eastAsia="宋体" w:hAnsi="宋体" w:hint="eastAsia"/>
          <w:szCs w:val="21"/>
        </w:rPr>
        <w:t>，</w:t>
      </w:r>
      <w:r w:rsidR="00716EBB" w:rsidRPr="00BC560D">
        <w:rPr>
          <w:rFonts w:ascii="宋体" w:eastAsia="宋体" w:hAnsi="宋体" w:hint="eastAsia"/>
          <w:szCs w:val="21"/>
        </w:rPr>
        <w:t>而粉红木薯</w:t>
      </w:r>
      <w:r w:rsidR="00F50C52" w:rsidRPr="00BC560D">
        <w:rPr>
          <w:rFonts w:ascii="宋体" w:eastAsia="宋体" w:hAnsi="宋体" w:hint="eastAsia"/>
          <w:szCs w:val="21"/>
        </w:rPr>
        <w:t>β-</w:t>
      </w:r>
      <w:r w:rsidR="00716EBB" w:rsidRPr="00BC560D">
        <w:rPr>
          <w:rFonts w:ascii="宋体" w:eastAsia="宋体" w:hAnsi="宋体" w:hint="eastAsia"/>
          <w:szCs w:val="21"/>
        </w:rPr>
        <w:t>胡萝卜素含量</w:t>
      </w:r>
      <w:r w:rsidR="00F50C52" w:rsidRPr="00BC560D">
        <w:rPr>
          <w:rFonts w:ascii="宋体" w:eastAsia="宋体" w:hAnsi="宋体" w:hint="eastAsia"/>
          <w:szCs w:val="21"/>
        </w:rPr>
        <w:t>在成熟期和膨大</w:t>
      </w:r>
      <w:proofErr w:type="gramStart"/>
      <w:r w:rsidR="00F50C52" w:rsidRPr="00BC560D">
        <w:rPr>
          <w:rFonts w:ascii="宋体" w:eastAsia="宋体" w:hAnsi="宋体" w:hint="eastAsia"/>
          <w:szCs w:val="21"/>
        </w:rPr>
        <w:t>期</w:t>
      </w:r>
      <w:r w:rsidR="00716EBB" w:rsidRPr="00BC560D">
        <w:rPr>
          <w:rFonts w:ascii="宋体" w:eastAsia="宋体" w:hAnsi="宋体" w:hint="eastAsia"/>
          <w:szCs w:val="21"/>
        </w:rPr>
        <w:t>变化</w:t>
      </w:r>
      <w:proofErr w:type="gramEnd"/>
      <w:r w:rsidR="00716EBB" w:rsidRPr="00BC560D">
        <w:rPr>
          <w:rFonts w:ascii="宋体" w:eastAsia="宋体" w:hAnsi="宋体" w:hint="eastAsia"/>
          <w:szCs w:val="21"/>
        </w:rPr>
        <w:t>差异不大。</w:t>
      </w:r>
    </w:p>
    <w:p w:rsidR="00716EBB" w:rsidRPr="00BC560D" w:rsidRDefault="00716EBB" w:rsidP="00BC560D">
      <w:pPr>
        <w:pStyle w:val="a3"/>
        <w:numPr>
          <w:ilvl w:val="1"/>
          <w:numId w:val="1"/>
        </w:numPr>
        <w:spacing w:line="360" w:lineRule="auto"/>
        <w:ind w:firstLineChars="0"/>
        <w:rPr>
          <w:rFonts w:ascii="宋体" w:eastAsia="宋体" w:hAnsi="宋体"/>
          <w:szCs w:val="21"/>
        </w:rPr>
      </w:pPr>
      <w:r w:rsidRPr="00BC560D">
        <w:rPr>
          <w:rFonts w:ascii="宋体" w:eastAsia="宋体" w:hAnsi="宋体" w:hint="eastAsia"/>
          <w:szCs w:val="21"/>
        </w:rPr>
        <w:t>不同时期类胡萝卜素合成及代谢途径相关基因表达分析</w:t>
      </w:r>
    </w:p>
    <w:p w:rsidR="00716EBB" w:rsidRPr="00BC560D" w:rsidRDefault="00716EBB" w:rsidP="00BC560D">
      <w:pPr>
        <w:spacing w:line="360" w:lineRule="auto"/>
        <w:rPr>
          <w:rFonts w:ascii="宋体" w:eastAsia="宋体" w:hAnsi="宋体"/>
          <w:szCs w:val="21"/>
        </w:rPr>
      </w:pPr>
      <w:r w:rsidRPr="00BC560D">
        <w:rPr>
          <w:rFonts w:ascii="宋体" w:eastAsia="宋体" w:hAnsi="宋体" w:hint="eastAsia"/>
          <w:szCs w:val="21"/>
        </w:rPr>
        <w:t>对四个</w:t>
      </w:r>
      <w:r w:rsidR="003A333D" w:rsidRPr="00BC560D">
        <w:rPr>
          <w:rFonts w:ascii="宋体" w:eastAsia="宋体" w:hAnsi="宋体" w:hint="eastAsia"/>
          <w:szCs w:val="21"/>
        </w:rPr>
        <w:t>不同</w:t>
      </w:r>
      <w:r w:rsidRPr="00BC560D">
        <w:rPr>
          <w:rFonts w:ascii="宋体" w:eastAsia="宋体" w:hAnsi="宋体" w:hint="eastAsia"/>
          <w:szCs w:val="21"/>
        </w:rPr>
        <w:t>木薯品种</w:t>
      </w:r>
      <w:r w:rsidR="003A333D" w:rsidRPr="00BC560D">
        <w:rPr>
          <w:rFonts w:ascii="宋体" w:eastAsia="宋体" w:hAnsi="宋体" w:hint="eastAsia"/>
          <w:szCs w:val="21"/>
        </w:rPr>
        <w:t>（系）</w:t>
      </w:r>
      <w:r w:rsidRPr="00BC560D">
        <w:rPr>
          <w:rFonts w:ascii="宋体" w:eastAsia="宋体" w:hAnsi="宋体" w:hint="eastAsia"/>
          <w:szCs w:val="21"/>
        </w:rPr>
        <w:t>膨大期和成熟期</w:t>
      </w:r>
      <w:r w:rsidR="002A2C89" w:rsidRPr="00BC560D">
        <w:rPr>
          <w:rFonts w:ascii="宋体" w:eastAsia="宋体" w:hAnsi="宋体" w:hint="eastAsia"/>
          <w:szCs w:val="21"/>
        </w:rPr>
        <w:t>均以华南6068作为对照，</w:t>
      </w:r>
      <w:r w:rsidRPr="00BC560D">
        <w:rPr>
          <w:rFonts w:ascii="宋体" w:eastAsia="宋体" w:hAnsi="宋体" w:hint="eastAsia"/>
          <w:szCs w:val="21"/>
        </w:rPr>
        <w:t>类胡萝卜素合成途径相关基因</w:t>
      </w:r>
      <w:r w:rsidR="00045AF6" w:rsidRPr="00BC560D">
        <w:rPr>
          <w:rFonts w:ascii="宋体" w:eastAsia="宋体" w:hAnsi="宋体" w:hint="eastAsia"/>
          <w:szCs w:val="21"/>
        </w:rPr>
        <w:t>的表达水平变化结果如图</w:t>
      </w:r>
      <w:r w:rsidR="003A333D" w:rsidRPr="00BC560D">
        <w:rPr>
          <w:rFonts w:ascii="宋体" w:eastAsia="宋体" w:hAnsi="宋体" w:hint="eastAsia"/>
          <w:szCs w:val="21"/>
        </w:rPr>
        <w:t>3</w:t>
      </w:r>
      <w:r w:rsidR="00045AF6" w:rsidRPr="00BC560D">
        <w:rPr>
          <w:rFonts w:ascii="宋体" w:eastAsia="宋体" w:hAnsi="宋体" w:hint="eastAsia"/>
          <w:szCs w:val="21"/>
        </w:rPr>
        <w:t>所示。</w:t>
      </w:r>
    </w:p>
    <w:p w:rsidR="001251B0" w:rsidRDefault="000F5C7F" w:rsidP="00481ECB">
      <w:pPr>
        <w:jc w:val="center"/>
        <w:rPr>
          <w:rFonts w:eastAsiaTheme="minorHAnsi"/>
          <w:sz w:val="28"/>
          <w:szCs w:val="28"/>
        </w:rPr>
      </w:pPr>
      <w:r>
        <w:rPr>
          <w:rFonts w:eastAsiaTheme="minorHAnsi"/>
          <w:noProof/>
          <w:sz w:val="28"/>
          <w:szCs w:val="28"/>
        </w:rPr>
        <w:lastRenderedPageBreak/>
        <w:drawing>
          <wp:inline distT="0" distB="0" distL="0" distR="0" wp14:anchorId="3D2F24E2">
            <wp:extent cx="5771489" cy="4076700"/>
            <wp:effectExtent l="0" t="0" r="127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9398" cy="4124668"/>
                    </a:xfrm>
                    <a:prstGeom prst="rect">
                      <a:avLst/>
                    </a:prstGeom>
                    <a:noFill/>
                  </pic:spPr>
                </pic:pic>
              </a:graphicData>
            </a:graphic>
          </wp:inline>
        </w:drawing>
      </w:r>
    </w:p>
    <w:p w:rsidR="00481ECB" w:rsidRDefault="000F5C7F" w:rsidP="00481ECB">
      <w:pPr>
        <w:jc w:val="center"/>
        <w:rPr>
          <w:rFonts w:eastAsiaTheme="minorHAnsi"/>
          <w:sz w:val="28"/>
          <w:szCs w:val="28"/>
        </w:rPr>
      </w:pPr>
      <w:r>
        <w:rPr>
          <w:rFonts w:eastAsiaTheme="minorHAnsi"/>
          <w:noProof/>
          <w:sz w:val="28"/>
          <w:szCs w:val="28"/>
        </w:rPr>
        <w:drawing>
          <wp:inline distT="0" distB="0" distL="0" distR="0" wp14:anchorId="3FD203E7">
            <wp:extent cx="5689612" cy="42481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4984" cy="4289494"/>
                    </a:xfrm>
                    <a:prstGeom prst="rect">
                      <a:avLst/>
                    </a:prstGeom>
                    <a:noFill/>
                  </pic:spPr>
                </pic:pic>
              </a:graphicData>
            </a:graphic>
          </wp:inline>
        </w:drawing>
      </w:r>
    </w:p>
    <w:p w:rsidR="00481ECB" w:rsidRDefault="00771060" w:rsidP="00481ECB">
      <w:pPr>
        <w:jc w:val="center"/>
        <w:rPr>
          <w:rFonts w:eastAsiaTheme="minorHAnsi"/>
          <w:sz w:val="28"/>
          <w:szCs w:val="28"/>
        </w:rPr>
      </w:pPr>
      <w:r>
        <w:rPr>
          <w:rFonts w:eastAsiaTheme="minorHAnsi"/>
          <w:noProof/>
          <w:sz w:val="28"/>
          <w:szCs w:val="28"/>
        </w:rPr>
        <w:lastRenderedPageBreak/>
        <w:drawing>
          <wp:inline distT="0" distB="0" distL="0" distR="0" wp14:anchorId="69AA833D">
            <wp:extent cx="5543550" cy="3909174"/>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60227" cy="3920934"/>
                    </a:xfrm>
                    <a:prstGeom prst="rect">
                      <a:avLst/>
                    </a:prstGeom>
                    <a:noFill/>
                  </pic:spPr>
                </pic:pic>
              </a:graphicData>
            </a:graphic>
          </wp:inline>
        </w:drawing>
      </w:r>
    </w:p>
    <w:p w:rsidR="001251B0" w:rsidRDefault="00045AF6" w:rsidP="00045AF6">
      <w:pPr>
        <w:jc w:val="center"/>
        <w:rPr>
          <w:rFonts w:eastAsiaTheme="minorHAnsi"/>
          <w:szCs w:val="21"/>
        </w:rPr>
      </w:pPr>
      <w:r>
        <w:rPr>
          <w:rFonts w:eastAsiaTheme="minorHAnsi"/>
          <w:szCs w:val="21"/>
        </w:rPr>
        <w:t xml:space="preserve"> </w:t>
      </w:r>
    </w:p>
    <w:p w:rsidR="001251B0" w:rsidRPr="00BC560D" w:rsidRDefault="001251B0" w:rsidP="00BC560D">
      <w:pPr>
        <w:spacing w:line="360" w:lineRule="auto"/>
        <w:jc w:val="center"/>
        <w:rPr>
          <w:rFonts w:ascii="宋体" w:eastAsia="宋体" w:hAnsi="宋体"/>
          <w:sz w:val="15"/>
          <w:szCs w:val="15"/>
        </w:rPr>
      </w:pPr>
      <w:r w:rsidRPr="00BC560D">
        <w:rPr>
          <w:rFonts w:ascii="宋体" w:eastAsia="宋体" w:hAnsi="宋体" w:hint="eastAsia"/>
          <w:sz w:val="15"/>
          <w:szCs w:val="15"/>
        </w:rPr>
        <w:t>DXR</w:t>
      </w:r>
      <w:r w:rsidR="003C70CD" w:rsidRPr="00BC560D">
        <w:rPr>
          <w:rFonts w:ascii="宋体" w:eastAsia="宋体" w:hAnsi="宋体" w:hint="eastAsia"/>
          <w:sz w:val="15"/>
          <w:szCs w:val="15"/>
        </w:rPr>
        <w:t xml:space="preserve">:1-脱氧-D-木酮糖-5-磷酸还原异构酶基因 </w:t>
      </w:r>
      <w:r w:rsidR="003C70CD" w:rsidRPr="00BC560D">
        <w:rPr>
          <w:rFonts w:ascii="宋体" w:eastAsia="宋体" w:hAnsi="宋体"/>
          <w:sz w:val="15"/>
          <w:szCs w:val="15"/>
        </w:rPr>
        <w:t>DXS:</w:t>
      </w:r>
      <w:r w:rsidR="003C70CD" w:rsidRPr="00BC560D">
        <w:rPr>
          <w:rFonts w:ascii="宋体" w:eastAsia="宋体" w:hAnsi="宋体" w:hint="eastAsia"/>
          <w:sz w:val="15"/>
          <w:szCs w:val="15"/>
        </w:rPr>
        <w:t xml:space="preserve"> 1-脱氧-D-木酮糖-5-磷酸合成酶基因 PSY1:</w:t>
      </w:r>
      <w:proofErr w:type="gramStart"/>
      <w:r w:rsidR="003C70CD" w:rsidRPr="00BC560D">
        <w:rPr>
          <w:rFonts w:ascii="宋体" w:eastAsia="宋体" w:hAnsi="宋体" w:hint="eastAsia"/>
          <w:sz w:val="15"/>
          <w:szCs w:val="15"/>
        </w:rPr>
        <w:t>八氢番茄红素</w:t>
      </w:r>
      <w:proofErr w:type="gramEnd"/>
      <w:r w:rsidR="003C70CD" w:rsidRPr="00BC560D">
        <w:rPr>
          <w:rFonts w:ascii="宋体" w:eastAsia="宋体" w:hAnsi="宋体" w:hint="eastAsia"/>
          <w:sz w:val="15"/>
          <w:szCs w:val="15"/>
        </w:rPr>
        <w:t xml:space="preserve">合成酶1基因 PSY2: </w:t>
      </w:r>
      <w:proofErr w:type="gramStart"/>
      <w:r w:rsidR="003C70CD" w:rsidRPr="00BC560D">
        <w:rPr>
          <w:rFonts w:ascii="宋体" w:eastAsia="宋体" w:hAnsi="宋体" w:hint="eastAsia"/>
          <w:sz w:val="15"/>
          <w:szCs w:val="15"/>
        </w:rPr>
        <w:t>八氢番茄红素</w:t>
      </w:r>
      <w:proofErr w:type="gramEnd"/>
      <w:r w:rsidR="003C70CD" w:rsidRPr="00BC560D">
        <w:rPr>
          <w:rFonts w:ascii="宋体" w:eastAsia="宋体" w:hAnsi="宋体" w:hint="eastAsia"/>
          <w:sz w:val="15"/>
          <w:szCs w:val="15"/>
        </w:rPr>
        <w:t>合成酶2基因 PDS: β</w:t>
      </w:r>
      <w:r w:rsidR="003C70CD" w:rsidRPr="00BC560D">
        <w:rPr>
          <w:rFonts w:ascii="宋体" w:eastAsia="宋体" w:hAnsi="宋体"/>
          <w:sz w:val="15"/>
          <w:szCs w:val="15"/>
        </w:rPr>
        <w:t>-胡萝卜素羟化酶基因</w:t>
      </w:r>
      <w:r w:rsidR="003C70CD" w:rsidRPr="00BC560D">
        <w:rPr>
          <w:rFonts w:ascii="宋体" w:eastAsia="宋体" w:hAnsi="宋体" w:hint="eastAsia"/>
          <w:sz w:val="15"/>
          <w:szCs w:val="15"/>
        </w:rPr>
        <w:t xml:space="preserve"> ZDS:</w:t>
      </w:r>
      <w:r w:rsidR="003C70CD" w:rsidRPr="00BC560D">
        <w:rPr>
          <w:rFonts w:ascii="宋体" w:eastAsia="宋体" w:hAnsi="宋体"/>
          <w:sz w:val="15"/>
          <w:szCs w:val="15"/>
        </w:rPr>
        <w:t xml:space="preserve"> ζ-胡萝卜素脱氢酶基因</w:t>
      </w:r>
      <w:r w:rsidR="003C70CD" w:rsidRPr="00BC560D">
        <w:rPr>
          <w:rFonts w:ascii="宋体" w:eastAsia="宋体" w:hAnsi="宋体" w:hint="eastAsia"/>
          <w:sz w:val="15"/>
          <w:szCs w:val="15"/>
        </w:rPr>
        <w:t xml:space="preserve"> </w:t>
      </w:r>
      <w:r w:rsidR="003C70CD" w:rsidRPr="00BC560D">
        <w:rPr>
          <w:rFonts w:ascii="宋体" w:eastAsia="宋体" w:hAnsi="宋体"/>
          <w:sz w:val="15"/>
          <w:szCs w:val="15"/>
        </w:rPr>
        <w:t>LYCB:</w:t>
      </w:r>
      <w:r w:rsidR="003C70CD" w:rsidRPr="00BC560D">
        <w:rPr>
          <w:rFonts w:ascii="宋体" w:eastAsia="宋体" w:hAnsi="宋体" w:hint="eastAsia"/>
          <w:sz w:val="15"/>
          <w:szCs w:val="15"/>
        </w:rPr>
        <w:t xml:space="preserve"> 番茄红素β</w:t>
      </w:r>
      <w:r w:rsidR="003C70CD" w:rsidRPr="00BC560D">
        <w:rPr>
          <w:rFonts w:ascii="宋体" w:eastAsia="宋体" w:hAnsi="宋体"/>
          <w:sz w:val="15"/>
          <w:szCs w:val="15"/>
        </w:rPr>
        <w:t>-环化酶基因</w:t>
      </w:r>
      <w:r w:rsidR="003C70CD" w:rsidRPr="00BC560D">
        <w:rPr>
          <w:rFonts w:ascii="宋体" w:eastAsia="宋体" w:hAnsi="宋体" w:hint="eastAsia"/>
          <w:sz w:val="15"/>
          <w:szCs w:val="15"/>
        </w:rPr>
        <w:t xml:space="preserve"> LYCE:</w:t>
      </w:r>
      <w:r w:rsidR="003C70CD" w:rsidRPr="00BC560D">
        <w:rPr>
          <w:rFonts w:ascii="宋体" w:eastAsia="宋体" w:hAnsi="宋体"/>
          <w:sz w:val="15"/>
          <w:szCs w:val="15"/>
        </w:rPr>
        <w:t xml:space="preserve"> </w:t>
      </w:r>
      <w:r w:rsidR="003C70CD" w:rsidRPr="00BC560D">
        <w:rPr>
          <w:rFonts w:ascii="宋体" w:eastAsia="宋体" w:hAnsi="宋体" w:hint="eastAsia"/>
          <w:sz w:val="15"/>
          <w:szCs w:val="15"/>
        </w:rPr>
        <w:t>番茄红素ε</w:t>
      </w:r>
      <w:r w:rsidR="003C70CD" w:rsidRPr="00BC560D">
        <w:rPr>
          <w:rFonts w:ascii="宋体" w:eastAsia="宋体" w:hAnsi="宋体"/>
          <w:sz w:val="15"/>
          <w:szCs w:val="15"/>
        </w:rPr>
        <w:t>-环化酶基因</w:t>
      </w:r>
      <w:r w:rsidR="003C70CD" w:rsidRPr="00BC560D">
        <w:rPr>
          <w:rFonts w:ascii="宋体" w:eastAsia="宋体" w:hAnsi="宋体" w:hint="eastAsia"/>
          <w:sz w:val="15"/>
          <w:szCs w:val="15"/>
        </w:rPr>
        <w:t xml:space="preserve"> HYD: </w:t>
      </w:r>
      <w:proofErr w:type="gramStart"/>
      <w:r w:rsidR="003C70CD" w:rsidRPr="00BC560D">
        <w:rPr>
          <w:rFonts w:ascii="宋体" w:eastAsia="宋体" w:hAnsi="宋体" w:hint="eastAsia"/>
          <w:sz w:val="15"/>
          <w:szCs w:val="15"/>
        </w:rPr>
        <w:t>八氢番茄红素</w:t>
      </w:r>
      <w:proofErr w:type="gramEnd"/>
      <w:r w:rsidR="003C70CD" w:rsidRPr="00BC560D">
        <w:rPr>
          <w:rFonts w:ascii="宋体" w:eastAsia="宋体" w:hAnsi="宋体" w:hint="eastAsia"/>
          <w:sz w:val="15"/>
          <w:szCs w:val="15"/>
        </w:rPr>
        <w:t xml:space="preserve">脱氢酶基因 </w:t>
      </w:r>
      <w:r w:rsidR="002B171E" w:rsidRPr="00BC560D">
        <w:rPr>
          <w:rFonts w:ascii="宋体" w:eastAsia="宋体" w:hAnsi="宋体"/>
          <w:sz w:val="15"/>
          <w:szCs w:val="15"/>
        </w:rPr>
        <w:t>ZEP:</w:t>
      </w:r>
      <w:r w:rsidR="002B171E" w:rsidRPr="00BC560D">
        <w:rPr>
          <w:rFonts w:ascii="宋体" w:eastAsia="宋体" w:hAnsi="宋体" w:hint="eastAsia"/>
          <w:sz w:val="15"/>
          <w:szCs w:val="15"/>
        </w:rPr>
        <w:t>玉米黄质环化酶基因 CCD1:胡萝卜素</w:t>
      </w:r>
      <w:proofErr w:type="gramStart"/>
      <w:r w:rsidR="002B171E" w:rsidRPr="00BC560D">
        <w:rPr>
          <w:rFonts w:ascii="宋体" w:eastAsia="宋体" w:hAnsi="宋体" w:hint="eastAsia"/>
          <w:sz w:val="15"/>
          <w:szCs w:val="15"/>
        </w:rPr>
        <w:t>裂解双</w:t>
      </w:r>
      <w:proofErr w:type="gramEnd"/>
      <w:r w:rsidR="002B171E" w:rsidRPr="00BC560D">
        <w:rPr>
          <w:rFonts w:ascii="宋体" w:eastAsia="宋体" w:hAnsi="宋体" w:hint="eastAsia"/>
          <w:sz w:val="15"/>
          <w:szCs w:val="15"/>
        </w:rPr>
        <w:t>加氧酶 NCED2:9-顺式-环氧类胡萝卜素双加氧酶2基因 NCED3: 9-顺式-环氧类胡萝卜素双加氧酶3基因</w:t>
      </w:r>
      <w:r w:rsidR="008B1DC9" w:rsidRPr="00BC560D">
        <w:rPr>
          <w:rFonts w:ascii="宋体" w:eastAsia="宋体" w:hAnsi="宋体" w:hint="eastAsia"/>
          <w:sz w:val="15"/>
          <w:szCs w:val="15"/>
        </w:rPr>
        <w:t>；</w:t>
      </w:r>
      <w:r w:rsidR="002B171E" w:rsidRPr="00BC560D">
        <w:rPr>
          <w:rFonts w:ascii="宋体" w:eastAsia="宋体" w:hAnsi="宋体" w:hint="eastAsia"/>
          <w:sz w:val="15"/>
          <w:szCs w:val="15"/>
        </w:rPr>
        <w:t>OR:质体发育基因</w:t>
      </w:r>
    </w:p>
    <w:p w:rsidR="002B171E" w:rsidRPr="00BC560D" w:rsidRDefault="002B171E" w:rsidP="00BC560D">
      <w:pPr>
        <w:spacing w:line="360" w:lineRule="auto"/>
        <w:jc w:val="center"/>
        <w:rPr>
          <w:rFonts w:ascii="宋体" w:eastAsia="宋体" w:hAnsi="宋体"/>
          <w:szCs w:val="21"/>
        </w:rPr>
      </w:pPr>
    </w:p>
    <w:p w:rsidR="00AA73CF" w:rsidRPr="00BC560D" w:rsidRDefault="001251B0" w:rsidP="00BC560D">
      <w:pPr>
        <w:spacing w:line="360" w:lineRule="auto"/>
        <w:jc w:val="center"/>
        <w:rPr>
          <w:rFonts w:ascii="宋体" w:eastAsia="宋体" w:hAnsi="宋体"/>
          <w:szCs w:val="21"/>
        </w:rPr>
      </w:pPr>
      <w:r w:rsidRPr="00BC560D">
        <w:rPr>
          <w:rFonts w:ascii="宋体" w:eastAsia="宋体" w:hAnsi="宋体" w:hint="eastAsia"/>
          <w:szCs w:val="21"/>
        </w:rPr>
        <w:t>图</w:t>
      </w:r>
      <w:r w:rsidR="00CF57DE" w:rsidRPr="00BC560D">
        <w:rPr>
          <w:rFonts w:ascii="宋体" w:eastAsia="宋体" w:hAnsi="宋体" w:hint="eastAsia"/>
          <w:szCs w:val="21"/>
        </w:rPr>
        <w:t>3</w:t>
      </w:r>
      <w:r w:rsidRPr="00BC560D">
        <w:rPr>
          <w:rFonts w:ascii="宋体" w:eastAsia="宋体" w:hAnsi="宋体"/>
          <w:szCs w:val="21"/>
        </w:rPr>
        <w:t xml:space="preserve"> </w:t>
      </w:r>
      <w:r w:rsidR="00045AF6" w:rsidRPr="00BC560D">
        <w:rPr>
          <w:rFonts w:ascii="宋体" w:eastAsia="宋体" w:hAnsi="宋体" w:hint="eastAsia"/>
          <w:szCs w:val="21"/>
        </w:rPr>
        <w:t>不同</w:t>
      </w:r>
      <w:r w:rsidR="008B1DC9" w:rsidRPr="00BC560D">
        <w:rPr>
          <w:rFonts w:ascii="宋体" w:eastAsia="宋体" w:hAnsi="宋体" w:hint="eastAsia"/>
          <w:szCs w:val="21"/>
        </w:rPr>
        <w:t>木薯品种（系）膨大期和成熟期</w:t>
      </w:r>
      <w:r w:rsidR="00045AF6" w:rsidRPr="00BC560D">
        <w:rPr>
          <w:rFonts w:ascii="宋体" w:eastAsia="宋体" w:hAnsi="宋体" w:hint="eastAsia"/>
          <w:szCs w:val="21"/>
        </w:rPr>
        <w:t>类胡萝卜素代谢途径相关基因表达</w:t>
      </w:r>
      <w:r w:rsidR="008B1DC9" w:rsidRPr="00BC560D">
        <w:rPr>
          <w:rFonts w:ascii="宋体" w:eastAsia="宋体" w:hAnsi="宋体" w:hint="eastAsia"/>
          <w:szCs w:val="21"/>
        </w:rPr>
        <w:t>分析</w:t>
      </w:r>
    </w:p>
    <w:p w:rsidR="0039531B" w:rsidRPr="00BC560D" w:rsidRDefault="0039531B" w:rsidP="00BC560D">
      <w:pPr>
        <w:spacing w:line="360" w:lineRule="auto"/>
        <w:ind w:firstLineChars="200" w:firstLine="420"/>
        <w:rPr>
          <w:rFonts w:ascii="宋体" w:eastAsia="宋体" w:hAnsi="宋体"/>
          <w:szCs w:val="21"/>
        </w:rPr>
      </w:pPr>
      <w:r w:rsidRPr="00BC560D">
        <w:rPr>
          <w:rFonts w:ascii="宋体" w:eastAsia="宋体" w:hAnsi="宋体" w:hint="eastAsia"/>
          <w:szCs w:val="21"/>
        </w:rPr>
        <w:t>首先，在SC9参与类胡萝卜素合成相关基因中，MEP途径的DXR、DXS在膨大期显著高于成熟期</w:t>
      </w:r>
      <w:r w:rsidR="00556BFF" w:rsidRPr="00BC560D">
        <w:rPr>
          <w:rFonts w:ascii="宋体" w:eastAsia="宋体" w:hAnsi="宋体" w:hint="eastAsia"/>
          <w:szCs w:val="21"/>
        </w:rPr>
        <w:t>，而类胡萝卜素核心催化酶P</w:t>
      </w:r>
      <w:r w:rsidR="00556BFF" w:rsidRPr="00BC560D">
        <w:rPr>
          <w:rFonts w:ascii="宋体" w:eastAsia="宋体" w:hAnsi="宋体"/>
          <w:szCs w:val="21"/>
        </w:rPr>
        <w:t>SY1</w:t>
      </w:r>
      <w:r w:rsidR="00556BFF" w:rsidRPr="00BC560D">
        <w:rPr>
          <w:rFonts w:ascii="宋体" w:eastAsia="宋体" w:hAnsi="宋体" w:hint="eastAsia"/>
          <w:szCs w:val="21"/>
        </w:rPr>
        <w:t>、PSY2基因与类胡萝卜素脱氢反应相关的PDS、ZDS基因在两个时期呈现不同的表达。P</w:t>
      </w:r>
      <w:r w:rsidR="00556BFF" w:rsidRPr="00BC560D">
        <w:rPr>
          <w:rFonts w:ascii="宋体" w:eastAsia="宋体" w:hAnsi="宋体"/>
          <w:szCs w:val="21"/>
        </w:rPr>
        <w:t>SY</w:t>
      </w:r>
      <w:r w:rsidR="00556BFF" w:rsidRPr="00BC560D">
        <w:rPr>
          <w:rFonts w:ascii="宋体" w:eastAsia="宋体" w:hAnsi="宋体" w:hint="eastAsia"/>
          <w:szCs w:val="21"/>
        </w:rPr>
        <w:t>1与PDS在</w:t>
      </w:r>
      <w:r w:rsidR="00252F65" w:rsidRPr="00BC560D">
        <w:rPr>
          <w:rFonts w:ascii="宋体" w:eastAsia="宋体" w:hAnsi="宋体" w:hint="eastAsia"/>
          <w:szCs w:val="21"/>
        </w:rPr>
        <w:t>膨大期的表达量显著高于成熟期，而PSY2和PDS则在成熟期有高表达。控制类胡萝卜素分支的关键酶LYCE和LYCB也有着不同的表达。LYCB在成熟期的显著</w:t>
      </w:r>
      <w:proofErr w:type="gramStart"/>
      <w:r w:rsidR="00252F65" w:rsidRPr="00BC560D">
        <w:rPr>
          <w:rFonts w:ascii="宋体" w:eastAsia="宋体" w:hAnsi="宋体" w:hint="eastAsia"/>
          <w:szCs w:val="21"/>
        </w:rPr>
        <w:t>高表达</w:t>
      </w:r>
      <w:proofErr w:type="gramEnd"/>
      <w:r w:rsidR="00252F65" w:rsidRPr="00BC560D">
        <w:rPr>
          <w:rFonts w:ascii="宋体" w:eastAsia="宋体" w:hAnsi="宋体" w:hint="eastAsia"/>
          <w:szCs w:val="21"/>
        </w:rPr>
        <w:t>与</w:t>
      </w:r>
      <w:r w:rsidR="00252F65" w:rsidRPr="00BC560D">
        <w:rPr>
          <w:rFonts w:ascii="宋体" w:eastAsia="宋体" w:hAnsi="宋体"/>
          <w:szCs w:val="21"/>
        </w:rPr>
        <w:t>LYCE</w:t>
      </w:r>
      <w:r w:rsidR="00252F65" w:rsidRPr="00BC560D">
        <w:rPr>
          <w:rFonts w:ascii="宋体" w:eastAsia="宋体" w:hAnsi="宋体" w:hint="eastAsia"/>
          <w:szCs w:val="21"/>
        </w:rPr>
        <w:t>的低表达促使类胡萝卜素沿着β途径向下游转化，而</w:t>
      </w:r>
      <w:r w:rsidR="00BA2FD9" w:rsidRPr="00BC560D">
        <w:rPr>
          <w:rFonts w:ascii="宋体" w:eastAsia="宋体" w:hAnsi="宋体" w:hint="eastAsia"/>
          <w:szCs w:val="21"/>
        </w:rPr>
        <w:t>类胡萝卜素积累的关键酶HYD也在成熟期中有高表达。而在类胡萝卜素降解相关基因CCD1、NCED</w:t>
      </w:r>
      <w:r w:rsidR="00BA2FD9" w:rsidRPr="00BC560D">
        <w:rPr>
          <w:rFonts w:ascii="宋体" w:eastAsia="宋体" w:hAnsi="宋体"/>
          <w:szCs w:val="21"/>
        </w:rPr>
        <w:t>3</w:t>
      </w:r>
      <w:r w:rsidR="00BA2FD9" w:rsidRPr="00BC560D">
        <w:rPr>
          <w:rFonts w:ascii="宋体" w:eastAsia="宋体" w:hAnsi="宋体" w:hint="eastAsia"/>
          <w:szCs w:val="21"/>
        </w:rPr>
        <w:t>在成熟期的表达量显著低于成熟期表明SC9的类胡萝卜素得以积累。而N</w:t>
      </w:r>
      <w:r w:rsidR="00BA2FD9" w:rsidRPr="00BC560D">
        <w:rPr>
          <w:rFonts w:ascii="宋体" w:eastAsia="宋体" w:hAnsi="宋体"/>
          <w:szCs w:val="21"/>
        </w:rPr>
        <w:t>CED2</w:t>
      </w:r>
      <w:r w:rsidR="00BA2FD9" w:rsidRPr="00BC560D">
        <w:rPr>
          <w:rFonts w:ascii="宋体" w:eastAsia="宋体" w:hAnsi="宋体" w:hint="eastAsia"/>
          <w:szCs w:val="21"/>
        </w:rPr>
        <w:t>与NCED3不同表达量提示其有不同的功能。</w:t>
      </w:r>
    </w:p>
    <w:p w:rsidR="006073B0" w:rsidRPr="00BC560D" w:rsidRDefault="00657025" w:rsidP="00BC560D">
      <w:pPr>
        <w:spacing w:line="360" w:lineRule="auto"/>
        <w:ind w:firstLineChars="200" w:firstLine="420"/>
        <w:rPr>
          <w:rFonts w:ascii="宋体" w:eastAsia="宋体" w:hAnsi="宋体"/>
          <w:szCs w:val="21"/>
        </w:rPr>
      </w:pPr>
      <w:r w:rsidRPr="00BC560D">
        <w:rPr>
          <w:rFonts w:ascii="宋体" w:eastAsia="宋体" w:hAnsi="宋体" w:hint="eastAsia"/>
          <w:szCs w:val="21"/>
        </w:rPr>
        <w:t>粉红木薯</w:t>
      </w:r>
      <w:proofErr w:type="spellStart"/>
      <w:r w:rsidRPr="00BC560D">
        <w:rPr>
          <w:rFonts w:ascii="宋体" w:eastAsia="宋体" w:hAnsi="宋体" w:hint="eastAsia"/>
          <w:szCs w:val="21"/>
        </w:rPr>
        <w:t>Mirasol</w:t>
      </w:r>
      <w:proofErr w:type="spellEnd"/>
      <w:r w:rsidRPr="00BC560D">
        <w:rPr>
          <w:rFonts w:ascii="宋体" w:eastAsia="宋体" w:hAnsi="宋体" w:hint="eastAsia"/>
          <w:szCs w:val="21"/>
        </w:rPr>
        <w:t>在类胡萝卜素合成途径相关基因中除去HYD及ZEP在膨大期显著</w:t>
      </w:r>
      <w:r w:rsidR="006073B0" w:rsidRPr="00BC560D">
        <w:rPr>
          <w:rFonts w:ascii="宋体" w:eastAsia="宋体" w:hAnsi="宋体" w:hint="eastAsia"/>
          <w:szCs w:val="21"/>
        </w:rPr>
        <w:t>低于成熟期外，其他合成基因（DXR、DXS、PSY1、PSY2、</w:t>
      </w:r>
      <w:r w:rsidR="006073B0" w:rsidRPr="00BC560D">
        <w:rPr>
          <w:rFonts w:ascii="宋体" w:eastAsia="宋体" w:hAnsi="宋体"/>
          <w:szCs w:val="21"/>
        </w:rPr>
        <w:t>PDS</w:t>
      </w:r>
      <w:r w:rsidR="006073B0" w:rsidRPr="00BC560D">
        <w:rPr>
          <w:rFonts w:ascii="宋体" w:eastAsia="宋体" w:hAnsi="宋体" w:hint="eastAsia"/>
          <w:szCs w:val="21"/>
        </w:rPr>
        <w:t>、ZDS</w:t>
      </w:r>
      <w:r w:rsidR="006073B0" w:rsidRPr="00BC560D">
        <w:rPr>
          <w:rFonts w:ascii="宋体" w:eastAsia="宋体" w:hAnsi="宋体"/>
          <w:szCs w:val="21"/>
        </w:rPr>
        <w:t>）</w:t>
      </w:r>
      <w:r w:rsidR="00BD1617" w:rsidRPr="00BC560D">
        <w:rPr>
          <w:rFonts w:ascii="宋体" w:eastAsia="宋体" w:hAnsi="宋体" w:hint="eastAsia"/>
          <w:szCs w:val="21"/>
        </w:rPr>
        <w:t>在成熟期下调表达。值得</w:t>
      </w:r>
      <w:r w:rsidR="00BD1617" w:rsidRPr="00BC560D">
        <w:rPr>
          <w:rFonts w:ascii="宋体" w:eastAsia="宋体" w:hAnsi="宋体" w:hint="eastAsia"/>
          <w:szCs w:val="21"/>
        </w:rPr>
        <w:lastRenderedPageBreak/>
        <w:t>注意的是，控制番茄红素向下游转化的</w:t>
      </w:r>
      <w:r w:rsidR="006073B0" w:rsidRPr="00BC560D">
        <w:rPr>
          <w:rFonts w:ascii="宋体" w:eastAsia="宋体" w:hAnsi="宋体" w:hint="eastAsia"/>
          <w:szCs w:val="21"/>
        </w:rPr>
        <w:t>LYCB，LYCE</w:t>
      </w:r>
      <w:r w:rsidR="00BD1617" w:rsidRPr="00BC560D">
        <w:rPr>
          <w:rFonts w:ascii="宋体" w:eastAsia="宋体" w:hAnsi="宋体" w:hint="eastAsia"/>
          <w:szCs w:val="21"/>
        </w:rPr>
        <w:t>基因在两个时期的表达量与对照相比呈现极显著的下调，是导致粉红木薯β-类胡萝卜素含量低于其他三个品种的原因之一。而</w:t>
      </w:r>
      <w:r w:rsidR="006073B0" w:rsidRPr="00BC560D">
        <w:rPr>
          <w:rFonts w:ascii="宋体" w:eastAsia="宋体" w:hAnsi="宋体" w:hint="eastAsia"/>
          <w:szCs w:val="21"/>
        </w:rPr>
        <w:t>降解途径相关基因CCD1</w:t>
      </w:r>
      <w:r w:rsidR="00BD1617" w:rsidRPr="00BC560D">
        <w:rPr>
          <w:rFonts w:ascii="宋体" w:eastAsia="宋体" w:hAnsi="宋体" w:hint="eastAsia"/>
          <w:szCs w:val="21"/>
        </w:rPr>
        <w:t>在成熟期的表达量下调，而NCED2、NCED3上调</w:t>
      </w:r>
      <w:r w:rsidR="006073B0" w:rsidRPr="00BC560D">
        <w:rPr>
          <w:rFonts w:ascii="宋体" w:eastAsia="宋体" w:hAnsi="宋体" w:hint="eastAsia"/>
          <w:szCs w:val="21"/>
        </w:rPr>
        <w:t>。</w:t>
      </w:r>
      <w:r w:rsidR="00BD1617" w:rsidRPr="00BC560D">
        <w:rPr>
          <w:rFonts w:ascii="宋体" w:eastAsia="宋体" w:hAnsi="宋体" w:hint="eastAsia"/>
          <w:szCs w:val="21"/>
        </w:rPr>
        <w:t>调控质体发育的</w:t>
      </w:r>
      <w:r w:rsidR="006073B0" w:rsidRPr="00BC560D">
        <w:rPr>
          <w:rFonts w:ascii="宋体" w:eastAsia="宋体" w:hAnsi="宋体" w:hint="eastAsia"/>
          <w:szCs w:val="21"/>
        </w:rPr>
        <w:t>OR基因在膨大期显著低于成熟期。</w:t>
      </w:r>
    </w:p>
    <w:p w:rsidR="006B0477" w:rsidRPr="00BC560D" w:rsidRDefault="00690925" w:rsidP="00BC560D">
      <w:pPr>
        <w:spacing w:line="360" w:lineRule="auto"/>
        <w:ind w:firstLineChars="200" w:firstLine="420"/>
        <w:rPr>
          <w:rFonts w:ascii="宋体" w:eastAsia="宋体" w:hAnsi="宋体"/>
          <w:szCs w:val="21"/>
        </w:rPr>
      </w:pPr>
      <w:r w:rsidRPr="00BC560D">
        <w:rPr>
          <w:rFonts w:ascii="宋体" w:eastAsia="宋体" w:hAnsi="宋体" w:hint="eastAsia"/>
          <w:szCs w:val="21"/>
        </w:rPr>
        <w:t>紫叶黄心木薯涉及类胡萝卜素合成相关基因的表达量与SC9相似。其中</w:t>
      </w:r>
      <w:r w:rsidR="006B0477" w:rsidRPr="00BC560D">
        <w:rPr>
          <w:rFonts w:ascii="宋体" w:eastAsia="宋体" w:hAnsi="宋体" w:hint="eastAsia"/>
          <w:szCs w:val="21"/>
        </w:rPr>
        <w:t>MEP途径的</w:t>
      </w:r>
      <w:r w:rsidRPr="00BC560D">
        <w:rPr>
          <w:rFonts w:ascii="宋体" w:eastAsia="宋体" w:hAnsi="宋体" w:hint="eastAsia"/>
          <w:szCs w:val="21"/>
        </w:rPr>
        <w:t>DXR</w:t>
      </w:r>
      <w:r w:rsidR="006B0477" w:rsidRPr="00BC560D">
        <w:rPr>
          <w:rFonts w:ascii="宋体" w:eastAsia="宋体" w:hAnsi="宋体" w:hint="eastAsia"/>
          <w:szCs w:val="21"/>
        </w:rPr>
        <w:t>和</w:t>
      </w:r>
      <w:r w:rsidRPr="00BC560D">
        <w:rPr>
          <w:rFonts w:ascii="宋体" w:eastAsia="宋体" w:hAnsi="宋体" w:hint="eastAsia"/>
          <w:szCs w:val="21"/>
        </w:rPr>
        <w:t>DXS</w:t>
      </w:r>
      <w:r w:rsidR="006B0477" w:rsidRPr="00BC560D">
        <w:rPr>
          <w:rFonts w:ascii="宋体" w:eastAsia="宋体" w:hAnsi="宋体" w:hint="eastAsia"/>
          <w:szCs w:val="21"/>
        </w:rPr>
        <w:t>，核心催化酶</w:t>
      </w:r>
      <w:r w:rsidRPr="00BC560D">
        <w:rPr>
          <w:rFonts w:ascii="宋体" w:eastAsia="宋体" w:hAnsi="宋体" w:hint="eastAsia"/>
          <w:szCs w:val="21"/>
        </w:rPr>
        <w:t>PSY1</w:t>
      </w:r>
      <w:r w:rsidR="006B0477" w:rsidRPr="00BC560D">
        <w:rPr>
          <w:rFonts w:ascii="宋体" w:eastAsia="宋体" w:hAnsi="宋体" w:hint="eastAsia"/>
          <w:szCs w:val="21"/>
        </w:rPr>
        <w:t>在</w:t>
      </w:r>
      <w:r w:rsidRPr="00BC560D">
        <w:rPr>
          <w:rFonts w:ascii="宋体" w:eastAsia="宋体" w:hAnsi="宋体" w:hint="eastAsia"/>
          <w:szCs w:val="21"/>
        </w:rPr>
        <w:t>膨大期的表达量显著高于成熟期，</w:t>
      </w:r>
      <w:r w:rsidR="006B0477" w:rsidRPr="00BC560D">
        <w:rPr>
          <w:rFonts w:ascii="宋体" w:eastAsia="宋体" w:hAnsi="宋体" w:hint="eastAsia"/>
          <w:szCs w:val="21"/>
        </w:rPr>
        <w:t>羟化酶</w:t>
      </w:r>
      <w:r w:rsidRPr="00BC560D">
        <w:rPr>
          <w:rFonts w:ascii="宋体" w:eastAsia="宋体" w:hAnsi="宋体" w:hint="eastAsia"/>
          <w:szCs w:val="21"/>
        </w:rPr>
        <w:t>PDS略有下调，但差异并不显著。而</w:t>
      </w:r>
    </w:p>
    <w:p w:rsidR="00690925" w:rsidRPr="00BC560D" w:rsidRDefault="006B0477" w:rsidP="00BC560D">
      <w:pPr>
        <w:spacing w:line="360" w:lineRule="auto"/>
        <w:rPr>
          <w:rFonts w:ascii="宋体" w:eastAsia="宋体" w:hAnsi="宋体"/>
          <w:szCs w:val="21"/>
        </w:rPr>
      </w:pPr>
      <w:r w:rsidRPr="00BC560D">
        <w:rPr>
          <w:rFonts w:ascii="宋体" w:eastAsia="宋体" w:hAnsi="宋体" w:hint="eastAsia"/>
          <w:szCs w:val="21"/>
        </w:rPr>
        <w:t>核心催化酶PSY2与脱氢酶ZDS在成熟期高表达，控制类胡萝卜素支流的LYCE和LYCB在成熟期都有高表达，表明紫叶黄心木薯的类胡萝卜素都有向α和β下游途径转化，造成β-类胡萝卜素低于SC9。</w:t>
      </w:r>
      <w:r w:rsidR="00690925" w:rsidRPr="00BC560D">
        <w:rPr>
          <w:rFonts w:ascii="宋体" w:eastAsia="宋体" w:hAnsi="宋体" w:hint="eastAsia"/>
          <w:szCs w:val="21"/>
        </w:rPr>
        <w:t>而涉及降解途径的</w:t>
      </w:r>
      <w:r w:rsidR="00441BF4" w:rsidRPr="00BC560D">
        <w:rPr>
          <w:rFonts w:ascii="宋体" w:eastAsia="宋体" w:hAnsi="宋体" w:hint="eastAsia"/>
          <w:szCs w:val="21"/>
        </w:rPr>
        <w:t>CCD1与NCED3表达量高于成熟期，而NCED2基因则显著低于成熟期。涉及质体相关发育的OR基因在两个时期内差异并不显著。</w:t>
      </w:r>
    </w:p>
    <w:p w:rsidR="0009768D" w:rsidRPr="00BC560D" w:rsidRDefault="0009768D" w:rsidP="00BC560D">
      <w:pPr>
        <w:spacing w:line="360" w:lineRule="auto"/>
        <w:rPr>
          <w:rFonts w:ascii="黑体" w:eastAsia="黑体" w:hAnsi="黑体"/>
          <w:szCs w:val="21"/>
        </w:rPr>
      </w:pPr>
      <w:r w:rsidRPr="00BC560D">
        <w:rPr>
          <w:rFonts w:ascii="黑体" w:eastAsia="黑体" w:hAnsi="黑体" w:hint="eastAsia"/>
          <w:szCs w:val="21"/>
        </w:rPr>
        <w:t>2.3不同时期类胡萝卜素途径相关</w:t>
      </w:r>
      <w:proofErr w:type="gramStart"/>
      <w:r w:rsidRPr="00BC560D">
        <w:rPr>
          <w:rFonts w:ascii="黑体" w:eastAsia="黑体" w:hAnsi="黑体" w:hint="eastAsia"/>
          <w:szCs w:val="21"/>
        </w:rPr>
        <w:t>酶表达</w:t>
      </w:r>
      <w:proofErr w:type="gramEnd"/>
      <w:r w:rsidRPr="00BC560D">
        <w:rPr>
          <w:rFonts w:ascii="黑体" w:eastAsia="黑体" w:hAnsi="黑体" w:hint="eastAsia"/>
          <w:szCs w:val="21"/>
        </w:rPr>
        <w:t>分析</w:t>
      </w:r>
    </w:p>
    <w:p w:rsidR="00541ADF" w:rsidRPr="00BC560D" w:rsidRDefault="00541ADF" w:rsidP="00BC560D">
      <w:pPr>
        <w:spacing w:line="360" w:lineRule="auto"/>
        <w:rPr>
          <w:rFonts w:ascii="宋体" w:eastAsia="宋体" w:hAnsi="宋体"/>
          <w:szCs w:val="21"/>
        </w:rPr>
      </w:pPr>
      <w:r w:rsidRPr="00BC560D">
        <w:rPr>
          <w:rFonts w:ascii="宋体" w:eastAsia="宋体" w:hAnsi="宋体" w:hint="eastAsia"/>
          <w:szCs w:val="21"/>
        </w:rPr>
        <w:t>Actin不同时期表达量</w:t>
      </w:r>
    </w:p>
    <w:p w:rsidR="00541ADF" w:rsidRDefault="00541ADF" w:rsidP="0009768D">
      <w:pPr>
        <w:rPr>
          <w:rFonts w:eastAsiaTheme="minorHAnsi"/>
          <w:sz w:val="28"/>
          <w:szCs w:val="28"/>
        </w:rPr>
      </w:pPr>
      <w:r>
        <w:rPr>
          <w:rFonts w:eastAsiaTheme="minorHAnsi"/>
          <w:noProof/>
          <w:sz w:val="28"/>
          <w:szCs w:val="28"/>
        </w:rPr>
        <w:drawing>
          <wp:inline distT="0" distB="0" distL="0" distR="0" wp14:anchorId="77DC46AC">
            <wp:extent cx="5907405" cy="118872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07405" cy="1188720"/>
                    </a:xfrm>
                    <a:prstGeom prst="rect">
                      <a:avLst/>
                    </a:prstGeom>
                    <a:noFill/>
                  </pic:spPr>
                </pic:pic>
              </a:graphicData>
            </a:graphic>
          </wp:inline>
        </w:drawing>
      </w:r>
    </w:p>
    <w:p w:rsidR="00541ADF" w:rsidRDefault="00771060" w:rsidP="00541ADF">
      <w:pPr>
        <w:ind w:firstLineChars="400" w:firstLine="1120"/>
        <w:rPr>
          <w:rFonts w:eastAsiaTheme="minorHAnsi"/>
          <w:sz w:val="28"/>
          <w:szCs w:val="28"/>
        </w:rPr>
      </w:pPr>
      <w:r w:rsidRPr="00771060">
        <w:rPr>
          <w:rFonts w:eastAsiaTheme="minorHAnsi"/>
          <w:noProof/>
          <w:sz w:val="28"/>
          <w:szCs w:val="28"/>
        </w:rPr>
        <w:drawing>
          <wp:inline distT="0" distB="0" distL="0" distR="0" wp14:anchorId="7DE009F6" wp14:editId="16EB1EE7">
            <wp:extent cx="4572000" cy="2743200"/>
            <wp:effectExtent l="0" t="0" r="0" b="0"/>
            <wp:docPr id="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BC560D" w:rsidRDefault="00BC560D" w:rsidP="00541ADF">
      <w:pPr>
        <w:ind w:firstLineChars="400" w:firstLine="1120"/>
        <w:rPr>
          <w:rFonts w:eastAsiaTheme="minorHAnsi" w:hint="eastAsia"/>
          <w:sz w:val="28"/>
          <w:szCs w:val="28"/>
        </w:rPr>
      </w:pPr>
    </w:p>
    <w:p w:rsidR="0009768D" w:rsidRPr="00BC560D" w:rsidRDefault="0009768D" w:rsidP="0009768D">
      <w:pPr>
        <w:rPr>
          <w:rFonts w:ascii="宋体" w:eastAsia="宋体" w:hAnsi="宋体"/>
          <w:szCs w:val="21"/>
        </w:rPr>
      </w:pPr>
      <w:r w:rsidRPr="00BC560D">
        <w:rPr>
          <w:rFonts w:ascii="宋体" w:eastAsia="宋体" w:hAnsi="宋体" w:hint="eastAsia"/>
          <w:szCs w:val="21"/>
        </w:rPr>
        <w:t>HSP70不同时期表达量</w:t>
      </w:r>
    </w:p>
    <w:p w:rsidR="00B1349E" w:rsidRPr="00484645" w:rsidRDefault="0009768D" w:rsidP="0009768D">
      <w:pPr>
        <w:jc w:val="left"/>
        <w:rPr>
          <w:rFonts w:eastAsiaTheme="minorHAnsi"/>
          <w:sz w:val="28"/>
          <w:szCs w:val="28"/>
        </w:rPr>
      </w:pPr>
      <w:r>
        <w:rPr>
          <w:rFonts w:eastAsiaTheme="minorHAnsi"/>
          <w:noProof/>
          <w:sz w:val="28"/>
          <w:szCs w:val="28"/>
        </w:rPr>
        <w:lastRenderedPageBreak/>
        <w:drawing>
          <wp:inline distT="0" distB="0" distL="0" distR="0" wp14:anchorId="421FC10E">
            <wp:extent cx="5907405" cy="123761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07405" cy="1237615"/>
                    </a:xfrm>
                    <a:prstGeom prst="rect">
                      <a:avLst/>
                    </a:prstGeom>
                    <a:noFill/>
                  </pic:spPr>
                </pic:pic>
              </a:graphicData>
            </a:graphic>
          </wp:inline>
        </w:drawing>
      </w:r>
    </w:p>
    <w:p w:rsidR="0009768D" w:rsidRDefault="00771060" w:rsidP="0009768D">
      <w:pPr>
        <w:ind w:firstLineChars="300" w:firstLine="840"/>
        <w:rPr>
          <w:rFonts w:eastAsiaTheme="minorHAnsi"/>
          <w:sz w:val="28"/>
          <w:szCs w:val="28"/>
        </w:rPr>
      </w:pPr>
      <w:r w:rsidRPr="00771060">
        <w:rPr>
          <w:rFonts w:eastAsiaTheme="minorHAnsi"/>
          <w:noProof/>
          <w:sz w:val="28"/>
          <w:szCs w:val="28"/>
        </w:rPr>
        <w:drawing>
          <wp:inline distT="0" distB="0" distL="0" distR="0" wp14:anchorId="7B875A19" wp14:editId="12986872">
            <wp:extent cx="4572000" cy="2743200"/>
            <wp:effectExtent l="0" t="0" r="0" b="0"/>
            <wp:docPr id="19" name="图表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BC560D" w:rsidRDefault="00BC560D" w:rsidP="0009768D">
      <w:pPr>
        <w:ind w:firstLineChars="300" w:firstLine="840"/>
        <w:rPr>
          <w:rFonts w:eastAsiaTheme="minorHAnsi" w:hint="eastAsia"/>
          <w:sz w:val="28"/>
          <w:szCs w:val="28"/>
        </w:rPr>
      </w:pPr>
    </w:p>
    <w:p w:rsidR="0009768D" w:rsidRPr="00BC560D" w:rsidRDefault="0009768D" w:rsidP="0009768D">
      <w:pPr>
        <w:jc w:val="left"/>
        <w:rPr>
          <w:rFonts w:ascii="宋体" w:eastAsia="宋体" w:hAnsi="宋体"/>
          <w:szCs w:val="21"/>
        </w:rPr>
      </w:pPr>
      <w:r w:rsidRPr="00BC560D">
        <w:rPr>
          <w:rFonts w:ascii="宋体" w:eastAsia="宋体" w:hAnsi="宋体" w:hint="eastAsia"/>
          <w:szCs w:val="21"/>
        </w:rPr>
        <w:t>GR不同时期表达量</w:t>
      </w:r>
    </w:p>
    <w:p w:rsidR="0009768D" w:rsidRDefault="0009768D" w:rsidP="0009768D">
      <w:pPr>
        <w:jc w:val="left"/>
        <w:rPr>
          <w:rFonts w:eastAsiaTheme="minorHAnsi"/>
          <w:sz w:val="28"/>
          <w:szCs w:val="28"/>
        </w:rPr>
      </w:pPr>
      <w:r>
        <w:rPr>
          <w:rFonts w:eastAsiaTheme="minorHAnsi"/>
          <w:noProof/>
          <w:sz w:val="28"/>
          <w:szCs w:val="28"/>
        </w:rPr>
        <w:drawing>
          <wp:inline distT="0" distB="0" distL="0" distR="0" wp14:anchorId="47C53873">
            <wp:extent cx="5907405" cy="123761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7405" cy="1237615"/>
                    </a:xfrm>
                    <a:prstGeom prst="rect">
                      <a:avLst/>
                    </a:prstGeom>
                    <a:noFill/>
                  </pic:spPr>
                </pic:pic>
              </a:graphicData>
            </a:graphic>
          </wp:inline>
        </w:drawing>
      </w:r>
    </w:p>
    <w:p w:rsidR="0009768D" w:rsidRDefault="0009768D" w:rsidP="0009768D">
      <w:pPr>
        <w:ind w:firstLineChars="200" w:firstLine="560"/>
        <w:jc w:val="left"/>
        <w:rPr>
          <w:rFonts w:eastAsiaTheme="minorHAnsi"/>
          <w:sz w:val="28"/>
          <w:szCs w:val="28"/>
        </w:rPr>
      </w:pPr>
    </w:p>
    <w:p w:rsidR="0009768D" w:rsidRDefault="00771060" w:rsidP="0009768D">
      <w:pPr>
        <w:ind w:firstLineChars="200" w:firstLine="560"/>
        <w:jc w:val="left"/>
        <w:rPr>
          <w:rFonts w:eastAsiaTheme="minorHAnsi"/>
          <w:sz w:val="28"/>
          <w:szCs w:val="28"/>
        </w:rPr>
      </w:pPr>
      <w:r w:rsidRPr="00771060">
        <w:rPr>
          <w:rFonts w:eastAsiaTheme="minorHAnsi"/>
          <w:noProof/>
          <w:sz w:val="28"/>
          <w:szCs w:val="28"/>
        </w:rPr>
        <w:lastRenderedPageBreak/>
        <w:drawing>
          <wp:inline distT="0" distB="0" distL="0" distR="0" wp14:anchorId="11906FB2" wp14:editId="104A631D">
            <wp:extent cx="4585982" cy="2814507"/>
            <wp:effectExtent l="0" t="0" r="5080" b="5080"/>
            <wp:docPr id="20" name="图表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C560D" w:rsidRDefault="00BC560D" w:rsidP="0009768D">
      <w:pPr>
        <w:ind w:firstLineChars="200" w:firstLine="560"/>
        <w:jc w:val="left"/>
        <w:rPr>
          <w:rFonts w:eastAsiaTheme="minorHAnsi" w:hint="eastAsia"/>
          <w:sz w:val="28"/>
          <w:szCs w:val="28"/>
        </w:rPr>
      </w:pPr>
    </w:p>
    <w:p w:rsidR="0009768D" w:rsidRPr="00BC560D" w:rsidRDefault="0009768D" w:rsidP="0009768D">
      <w:pPr>
        <w:jc w:val="left"/>
        <w:rPr>
          <w:rFonts w:ascii="宋体" w:eastAsia="宋体" w:hAnsi="宋体"/>
          <w:szCs w:val="21"/>
        </w:rPr>
      </w:pPr>
      <w:r w:rsidRPr="00BC560D">
        <w:rPr>
          <w:rFonts w:ascii="宋体" w:eastAsia="宋体" w:hAnsi="宋体" w:hint="eastAsia"/>
          <w:szCs w:val="21"/>
        </w:rPr>
        <w:t>APX不同时期表达量</w:t>
      </w:r>
    </w:p>
    <w:p w:rsidR="0009768D" w:rsidRDefault="0009768D" w:rsidP="0009768D">
      <w:pPr>
        <w:jc w:val="left"/>
        <w:rPr>
          <w:rFonts w:eastAsiaTheme="minorHAnsi"/>
          <w:sz w:val="28"/>
          <w:szCs w:val="28"/>
        </w:rPr>
      </w:pPr>
      <w:r>
        <w:rPr>
          <w:rFonts w:eastAsiaTheme="minorHAnsi"/>
          <w:noProof/>
          <w:sz w:val="28"/>
          <w:szCs w:val="28"/>
        </w:rPr>
        <w:drawing>
          <wp:inline distT="0" distB="0" distL="0" distR="0" wp14:anchorId="49553935">
            <wp:extent cx="5907405" cy="123761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7405" cy="1237615"/>
                    </a:xfrm>
                    <a:prstGeom prst="rect">
                      <a:avLst/>
                    </a:prstGeom>
                    <a:noFill/>
                  </pic:spPr>
                </pic:pic>
              </a:graphicData>
            </a:graphic>
          </wp:inline>
        </w:drawing>
      </w:r>
    </w:p>
    <w:p w:rsidR="0009768D" w:rsidRDefault="00771060" w:rsidP="0009768D">
      <w:pPr>
        <w:ind w:firstLineChars="300" w:firstLine="840"/>
        <w:jc w:val="left"/>
        <w:rPr>
          <w:rFonts w:eastAsiaTheme="minorHAnsi"/>
          <w:sz w:val="28"/>
          <w:szCs w:val="28"/>
        </w:rPr>
      </w:pPr>
      <w:r w:rsidRPr="00771060">
        <w:rPr>
          <w:rFonts w:eastAsiaTheme="minorHAnsi"/>
          <w:noProof/>
          <w:sz w:val="28"/>
          <w:szCs w:val="28"/>
        </w:rPr>
        <w:drawing>
          <wp:inline distT="0" distB="0" distL="0" distR="0" wp14:anchorId="71E3377D" wp14:editId="34D4BB55">
            <wp:extent cx="4572000" cy="2743200"/>
            <wp:effectExtent l="0" t="0" r="0" b="0"/>
            <wp:docPr id="21" name="图表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BC560D" w:rsidRDefault="00BC560D" w:rsidP="0009768D">
      <w:pPr>
        <w:ind w:firstLineChars="300" w:firstLine="840"/>
        <w:jc w:val="left"/>
        <w:rPr>
          <w:rFonts w:eastAsiaTheme="minorHAnsi" w:hint="eastAsia"/>
          <w:sz w:val="28"/>
          <w:szCs w:val="28"/>
        </w:rPr>
      </w:pPr>
    </w:p>
    <w:p w:rsidR="0009768D" w:rsidRPr="00BC560D" w:rsidRDefault="0009768D" w:rsidP="0009768D">
      <w:pPr>
        <w:jc w:val="left"/>
        <w:rPr>
          <w:rFonts w:ascii="宋体" w:eastAsia="宋体" w:hAnsi="宋体"/>
          <w:szCs w:val="21"/>
        </w:rPr>
      </w:pPr>
      <w:r w:rsidRPr="00BC560D">
        <w:rPr>
          <w:rFonts w:ascii="宋体" w:eastAsia="宋体" w:hAnsi="宋体" w:hint="eastAsia"/>
          <w:szCs w:val="21"/>
        </w:rPr>
        <w:t>Fe-</w:t>
      </w:r>
      <w:r w:rsidRPr="00BC560D">
        <w:rPr>
          <w:rFonts w:ascii="宋体" w:eastAsia="宋体" w:hAnsi="宋体"/>
          <w:szCs w:val="21"/>
        </w:rPr>
        <w:t>SOD</w:t>
      </w:r>
      <w:r w:rsidRPr="00BC560D">
        <w:rPr>
          <w:rFonts w:ascii="宋体" w:eastAsia="宋体" w:hAnsi="宋体" w:hint="eastAsia"/>
          <w:szCs w:val="21"/>
        </w:rPr>
        <w:t>不同时期表达量</w:t>
      </w:r>
    </w:p>
    <w:p w:rsidR="0009768D" w:rsidRDefault="0009768D" w:rsidP="0009768D">
      <w:pPr>
        <w:jc w:val="left"/>
        <w:rPr>
          <w:rFonts w:eastAsiaTheme="minorHAnsi"/>
          <w:sz w:val="28"/>
          <w:szCs w:val="28"/>
        </w:rPr>
      </w:pPr>
      <w:r>
        <w:rPr>
          <w:rFonts w:eastAsiaTheme="minorHAnsi"/>
          <w:noProof/>
          <w:sz w:val="28"/>
          <w:szCs w:val="28"/>
        </w:rPr>
        <w:lastRenderedPageBreak/>
        <w:drawing>
          <wp:inline distT="0" distB="0" distL="0" distR="0" wp14:anchorId="07C65BD7">
            <wp:extent cx="5907405" cy="12192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7405" cy="1219200"/>
                    </a:xfrm>
                    <a:prstGeom prst="rect">
                      <a:avLst/>
                    </a:prstGeom>
                    <a:noFill/>
                  </pic:spPr>
                </pic:pic>
              </a:graphicData>
            </a:graphic>
          </wp:inline>
        </w:drawing>
      </w:r>
    </w:p>
    <w:p w:rsidR="0009768D" w:rsidRDefault="00771060" w:rsidP="0009768D">
      <w:pPr>
        <w:ind w:firstLineChars="300" w:firstLine="840"/>
        <w:jc w:val="left"/>
        <w:rPr>
          <w:rFonts w:eastAsiaTheme="minorHAnsi"/>
          <w:sz w:val="28"/>
          <w:szCs w:val="28"/>
        </w:rPr>
      </w:pPr>
      <w:r w:rsidRPr="00771060">
        <w:rPr>
          <w:rFonts w:eastAsiaTheme="minorHAnsi"/>
          <w:noProof/>
          <w:sz w:val="28"/>
          <w:szCs w:val="28"/>
        </w:rPr>
        <w:drawing>
          <wp:inline distT="0" distB="0" distL="0" distR="0" wp14:anchorId="119A005E" wp14:editId="5C0CE3EC">
            <wp:extent cx="4572000" cy="2743200"/>
            <wp:effectExtent l="0" t="0" r="0" b="0"/>
            <wp:docPr id="22" name="图表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BC560D" w:rsidRDefault="00BC560D" w:rsidP="00CF57DE">
      <w:pPr>
        <w:ind w:firstLineChars="300" w:firstLine="630"/>
        <w:jc w:val="center"/>
        <w:rPr>
          <w:rFonts w:eastAsiaTheme="minorHAnsi"/>
          <w:szCs w:val="21"/>
        </w:rPr>
      </w:pPr>
    </w:p>
    <w:p w:rsidR="00CF57DE" w:rsidRPr="00BC560D" w:rsidRDefault="00CF57DE" w:rsidP="00CF57DE">
      <w:pPr>
        <w:ind w:firstLineChars="300" w:firstLine="450"/>
        <w:jc w:val="center"/>
        <w:rPr>
          <w:rFonts w:ascii="宋体" w:eastAsia="宋体" w:hAnsi="宋体"/>
          <w:sz w:val="15"/>
          <w:szCs w:val="15"/>
        </w:rPr>
      </w:pPr>
      <w:r w:rsidRPr="00BC560D">
        <w:rPr>
          <w:rFonts w:ascii="宋体" w:eastAsia="宋体" w:hAnsi="宋体" w:hint="eastAsia"/>
          <w:sz w:val="15"/>
          <w:szCs w:val="15"/>
        </w:rPr>
        <w:t>图4</w:t>
      </w:r>
      <w:r w:rsidRPr="00BC560D">
        <w:rPr>
          <w:rFonts w:ascii="宋体" w:eastAsia="宋体" w:hAnsi="宋体"/>
          <w:sz w:val="15"/>
          <w:szCs w:val="15"/>
        </w:rPr>
        <w:t xml:space="preserve"> </w:t>
      </w:r>
      <w:r w:rsidRPr="00BC560D">
        <w:rPr>
          <w:rFonts w:ascii="宋体" w:eastAsia="宋体" w:hAnsi="宋体" w:hint="eastAsia"/>
          <w:sz w:val="15"/>
          <w:szCs w:val="15"/>
        </w:rPr>
        <w:t>四个木薯品种不同生长期类胡萝卜素相关</w:t>
      </w:r>
      <w:proofErr w:type="gramStart"/>
      <w:r w:rsidRPr="00BC560D">
        <w:rPr>
          <w:rFonts w:ascii="宋体" w:eastAsia="宋体" w:hAnsi="宋体" w:hint="eastAsia"/>
          <w:sz w:val="15"/>
          <w:szCs w:val="15"/>
        </w:rPr>
        <w:t>酶表达</w:t>
      </w:r>
      <w:proofErr w:type="gramEnd"/>
      <w:r w:rsidRPr="00BC560D">
        <w:rPr>
          <w:rFonts w:ascii="宋体" w:eastAsia="宋体" w:hAnsi="宋体" w:hint="eastAsia"/>
          <w:sz w:val="15"/>
          <w:szCs w:val="15"/>
        </w:rPr>
        <w:t>量</w:t>
      </w:r>
    </w:p>
    <w:p w:rsidR="00541ADF" w:rsidRDefault="00541ADF" w:rsidP="00BC560D">
      <w:pPr>
        <w:spacing w:line="360" w:lineRule="auto"/>
        <w:ind w:firstLineChars="200" w:firstLine="420"/>
        <w:rPr>
          <w:rFonts w:eastAsiaTheme="minorHAnsi"/>
          <w:sz w:val="28"/>
          <w:szCs w:val="28"/>
        </w:rPr>
      </w:pPr>
      <w:r w:rsidRPr="00BC560D">
        <w:rPr>
          <w:rFonts w:ascii="宋体" w:eastAsia="宋体" w:hAnsi="宋体" w:hint="eastAsia"/>
          <w:szCs w:val="21"/>
        </w:rPr>
        <w:t>四个木薯品种不同生育</w:t>
      </w:r>
      <w:proofErr w:type="gramStart"/>
      <w:r w:rsidRPr="00BC560D">
        <w:rPr>
          <w:rFonts w:ascii="宋体" w:eastAsia="宋体" w:hAnsi="宋体" w:hint="eastAsia"/>
          <w:szCs w:val="21"/>
        </w:rPr>
        <w:t>期分子</w:t>
      </w:r>
      <w:proofErr w:type="gramEnd"/>
      <w:r w:rsidRPr="00BC560D">
        <w:rPr>
          <w:rFonts w:ascii="宋体" w:eastAsia="宋体" w:hAnsi="宋体" w:hint="eastAsia"/>
          <w:szCs w:val="21"/>
        </w:rPr>
        <w:t>伴侣相关酶HSP70的差异并未有显著区别</w:t>
      </w:r>
      <w:r w:rsidR="00D12F30" w:rsidRPr="00BC560D">
        <w:rPr>
          <w:rFonts w:ascii="宋体" w:eastAsia="宋体" w:hAnsi="宋体" w:hint="eastAsia"/>
          <w:szCs w:val="21"/>
        </w:rPr>
        <w:t>，但成熟期相对于膨大期有</w:t>
      </w:r>
      <w:r w:rsidR="006B0477" w:rsidRPr="00BC560D">
        <w:rPr>
          <w:rFonts w:ascii="宋体" w:eastAsia="宋体" w:hAnsi="宋体" w:hint="eastAsia"/>
          <w:szCs w:val="21"/>
        </w:rPr>
        <w:t>略有</w:t>
      </w:r>
      <w:r w:rsidR="00D12F30" w:rsidRPr="00BC560D">
        <w:rPr>
          <w:rFonts w:ascii="宋体" w:eastAsia="宋体" w:hAnsi="宋体" w:hint="eastAsia"/>
          <w:szCs w:val="21"/>
        </w:rPr>
        <w:t>下调</w:t>
      </w:r>
      <w:r w:rsidR="00C72692" w:rsidRPr="00BC560D">
        <w:rPr>
          <w:rFonts w:ascii="宋体" w:eastAsia="宋体" w:hAnsi="宋体" w:hint="eastAsia"/>
          <w:szCs w:val="21"/>
        </w:rPr>
        <w:t>。</w:t>
      </w:r>
      <w:r w:rsidRPr="00BC560D">
        <w:rPr>
          <w:rFonts w:ascii="宋体" w:eastAsia="宋体" w:hAnsi="宋体" w:hint="eastAsia"/>
          <w:szCs w:val="21"/>
        </w:rPr>
        <w:t>谷胱甘肽还原酶</w:t>
      </w:r>
      <w:r w:rsidR="00C72692" w:rsidRPr="00BC560D">
        <w:rPr>
          <w:rFonts w:ascii="宋体" w:eastAsia="宋体" w:hAnsi="宋体" w:hint="eastAsia"/>
          <w:szCs w:val="21"/>
        </w:rPr>
        <w:t>（GR</w:t>
      </w:r>
      <w:r w:rsidR="00C72692" w:rsidRPr="00BC560D">
        <w:rPr>
          <w:rFonts w:ascii="宋体" w:eastAsia="宋体" w:hAnsi="宋体"/>
          <w:szCs w:val="21"/>
        </w:rPr>
        <w:t>）</w:t>
      </w:r>
      <w:r w:rsidR="00CE4471" w:rsidRPr="00BC560D">
        <w:rPr>
          <w:rFonts w:ascii="宋体" w:eastAsia="宋体" w:hAnsi="宋体" w:hint="eastAsia"/>
          <w:szCs w:val="21"/>
        </w:rPr>
        <w:t>的表达</w:t>
      </w:r>
      <w:proofErr w:type="gramStart"/>
      <w:r w:rsidR="00CE4471" w:rsidRPr="00BC560D">
        <w:rPr>
          <w:rFonts w:ascii="宋体" w:eastAsia="宋体" w:hAnsi="宋体" w:hint="eastAsia"/>
          <w:szCs w:val="21"/>
        </w:rPr>
        <w:t>量除了</w:t>
      </w:r>
      <w:proofErr w:type="gramEnd"/>
      <w:r w:rsidR="00CE4471" w:rsidRPr="00BC560D">
        <w:rPr>
          <w:rFonts w:ascii="宋体" w:eastAsia="宋体" w:hAnsi="宋体" w:hint="eastAsia"/>
          <w:szCs w:val="21"/>
        </w:rPr>
        <w:t>粉红木薯两个时期差异并不大外，其他三个木薯品种在成熟期都显著高于膨大期，SC6068的GR表达量都显著高于三个品种。四个木薯品种抗坏血酸过氧化物酶（APX</w:t>
      </w:r>
      <w:r w:rsidR="00CE4471" w:rsidRPr="00BC560D">
        <w:rPr>
          <w:rFonts w:ascii="宋体" w:eastAsia="宋体" w:hAnsi="宋体"/>
          <w:szCs w:val="21"/>
        </w:rPr>
        <w:t>）</w:t>
      </w:r>
      <w:r w:rsidR="00CE4471" w:rsidRPr="00BC560D">
        <w:rPr>
          <w:rFonts w:ascii="宋体" w:eastAsia="宋体" w:hAnsi="宋体" w:hint="eastAsia"/>
          <w:szCs w:val="21"/>
        </w:rPr>
        <w:t>在成熟期的表达量都显著高于膨大期，但其在膨大期和成熟期内相关差异并不显著。</w:t>
      </w:r>
      <w:r w:rsidR="00AF52D7" w:rsidRPr="00BC560D">
        <w:rPr>
          <w:rFonts w:ascii="宋体" w:eastAsia="宋体" w:hAnsi="宋体" w:hint="eastAsia"/>
          <w:szCs w:val="21"/>
        </w:rPr>
        <w:t>而超氧化物歧化酶</w:t>
      </w:r>
      <w:r w:rsidR="00C72692" w:rsidRPr="00BC560D">
        <w:rPr>
          <w:rFonts w:ascii="宋体" w:eastAsia="宋体" w:hAnsi="宋体" w:hint="eastAsia"/>
          <w:szCs w:val="21"/>
        </w:rPr>
        <w:t>(</w:t>
      </w:r>
      <w:r w:rsidR="00C72692" w:rsidRPr="00BC560D">
        <w:rPr>
          <w:rFonts w:ascii="宋体" w:eastAsia="宋体" w:hAnsi="宋体"/>
          <w:szCs w:val="21"/>
        </w:rPr>
        <w:t>SOD)</w:t>
      </w:r>
      <w:r w:rsidR="00C72692" w:rsidRPr="00BC560D">
        <w:rPr>
          <w:rFonts w:ascii="宋体" w:eastAsia="宋体" w:hAnsi="宋体" w:hint="eastAsia"/>
          <w:szCs w:val="21"/>
        </w:rPr>
        <w:t>在SC9和SC6068的成熟期呈现上调表达</w:t>
      </w:r>
      <w:r w:rsidR="003F1CD2" w:rsidRPr="00BC560D">
        <w:rPr>
          <w:rFonts w:ascii="宋体" w:eastAsia="宋体" w:hAnsi="宋体" w:hint="eastAsia"/>
          <w:szCs w:val="21"/>
        </w:rPr>
        <w:t>，其中SC6068呈显著上调的表达；而粉红木薯在成熟期的表达量显著下调，而紫叶黄心木薯在两个时期内差异并不显著</w:t>
      </w:r>
      <w:r w:rsidR="003F1CD2">
        <w:rPr>
          <w:rFonts w:eastAsiaTheme="minorHAnsi" w:hint="eastAsia"/>
          <w:sz w:val="28"/>
          <w:szCs w:val="28"/>
        </w:rPr>
        <w:t>。</w:t>
      </w:r>
      <w:r w:rsidR="00C72692">
        <w:rPr>
          <w:rFonts w:eastAsiaTheme="minorHAnsi"/>
          <w:sz w:val="28"/>
          <w:szCs w:val="28"/>
        </w:rPr>
        <w:t xml:space="preserve"> </w:t>
      </w:r>
    </w:p>
    <w:p w:rsidR="00045AF6" w:rsidRPr="00BC560D" w:rsidRDefault="009A3586" w:rsidP="00BC560D">
      <w:pPr>
        <w:spacing w:line="360" w:lineRule="auto"/>
        <w:rPr>
          <w:rFonts w:ascii="黑体" w:eastAsia="黑体" w:hAnsi="黑体"/>
          <w:sz w:val="28"/>
          <w:szCs w:val="28"/>
        </w:rPr>
      </w:pPr>
      <w:r w:rsidRPr="00BC560D">
        <w:rPr>
          <w:rFonts w:ascii="黑体" w:eastAsia="黑体" w:hAnsi="黑体" w:hint="eastAsia"/>
          <w:sz w:val="28"/>
          <w:szCs w:val="28"/>
        </w:rPr>
        <w:t>3.讨论</w:t>
      </w:r>
    </w:p>
    <w:p w:rsidR="00972BCA" w:rsidRPr="00BC560D" w:rsidRDefault="009868C9" w:rsidP="00BC560D">
      <w:pPr>
        <w:spacing w:line="360" w:lineRule="auto"/>
        <w:ind w:firstLineChars="200" w:firstLine="420"/>
        <w:rPr>
          <w:rFonts w:ascii="宋体" w:eastAsia="宋体" w:hAnsi="宋体"/>
          <w:szCs w:val="21"/>
        </w:rPr>
      </w:pPr>
      <w:r w:rsidRPr="00BC560D">
        <w:rPr>
          <w:rFonts w:ascii="宋体" w:eastAsia="宋体" w:hAnsi="宋体" w:hint="eastAsia"/>
          <w:szCs w:val="21"/>
        </w:rPr>
        <w:t>在高等植物中，番茄红素环化的步骤是类胡萝卜和合成重要的分支点，L</w:t>
      </w:r>
      <w:r w:rsidRPr="00BC560D">
        <w:rPr>
          <w:rFonts w:ascii="宋体" w:eastAsia="宋体" w:hAnsi="宋体"/>
          <w:szCs w:val="21"/>
        </w:rPr>
        <w:t>YCB</w:t>
      </w:r>
      <w:r w:rsidRPr="00BC560D">
        <w:rPr>
          <w:rFonts w:ascii="宋体" w:eastAsia="宋体" w:hAnsi="宋体" w:hint="eastAsia"/>
          <w:szCs w:val="21"/>
        </w:rPr>
        <w:t>与LYCE是两个参与其中的关键酶</w:t>
      </w:r>
      <w:r w:rsidRPr="00BC560D">
        <w:rPr>
          <w:rFonts w:ascii="宋体" w:eastAsia="宋体" w:hAnsi="宋体" w:hint="eastAsia"/>
          <w:szCs w:val="21"/>
          <w:vertAlign w:val="superscript"/>
        </w:rPr>
        <w:t>【</w:t>
      </w:r>
      <w:r w:rsidR="009B2B42" w:rsidRPr="00BC560D">
        <w:rPr>
          <w:rFonts w:ascii="宋体" w:eastAsia="宋体" w:hAnsi="宋体" w:hint="eastAsia"/>
          <w:szCs w:val="21"/>
          <w:vertAlign w:val="superscript"/>
        </w:rPr>
        <w:t>23</w:t>
      </w:r>
      <w:r w:rsidRPr="00BC560D">
        <w:rPr>
          <w:rFonts w:ascii="宋体" w:eastAsia="宋体" w:hAnsi="宋体" w:hint="eastAsia"/>
          <w:szCs w:val="21"/>
          <w:vertAlign w:val="superscript"/>
        </w:rPr>
        <w:t>】</w:t>
      </w:r>
      <w:r w:rsidRPr="00BC560D">
        <w:rPr>
          <w:rFonts w:ascii="宋体" w:eastAsia="宋体" w:hAnsi="宋体" w:hint="eastAsia"/>
          <w:szCs w:val="21"/>
        </w:rPr>
        <w:t>。</w:t>
      </w:r>
      <w:r w:rsidR="00CC787C" w:rsidRPr="00BC560D">
        <w:rPr>
          <w:rFonts w:ascii="宋体" w:eastAsia="宋体" w:hAnsi="宋体" w:hint="eastAsia"/>
          <w:szCs w:val="21"/>
        </w:rPr>
        <w:t>在本研究中SC9和紫叶黄心木薯在</w:t>
      </w:r>
      <w:r w:rsidRPr="00BC560D">
        <w:rPr>
          <w:rFonts w:ascii="宋体" w:eastAsia="宋体" w:hAnsi="宋体" w:hint="eastAsia"/>
          <w:szCs w:val="21"/>
        </w:rPr>
        <w:t>膨大期和成熟期LYCB</w:t>
      </w:r>
      <w:r w:rsidR="00A11200" w:rsidRPr="00BC560D">
        <w:rPr>
          <w:rFonts w:ascii="宋体" w:eastAsia="宋体" w:hAnsi="宋体" w:hint="eastAsia"/>
          <w:szCs w:val="21"/>
        </w:rPr>
        <w:t>显著上调表达，</w:t>
      </w:r>
      <w:r w:rsidRPr="00BC560D">
        <w:rPr>
          <w:rFonts w:ascii="宋体" w:eastAsia="宋体" w:hAnsi="宋体" w:hint="eastAsia"/>
          <w:szCs w:val="21"/>
        </w:rPr>
        <w:t>使得类胡萝卜素的代谢途径向下游的类胡萝卜素合成</w:t>
      </w:r>
      <w:r w:rsidR="003A4DFF" w:rsidRPr="00BC560D">
        <w:rPr>
          <w:rFonts w:ascii="宋体" w:eastAsia="宋体" w:hAnsi="宋体" w:hint="eastAsia"/>
          <w:szCs w:val="21"/>
        </w:rPr>
        <w:t>，而紫叶黄心木薯LYCE上调表达也造成一部分的番茄红素向</w:t>
      </w:r>
      <w:proofErr w:type="gramStart"/>
      <w:r w:rsidR="003A4DFF" w:rsidRPr="00BC560D">
        <w:rPr>
          <w:rFonts w:ascii="宋体" w:eastAsia="宋体" w:hAnsi="宋体" w:hint="eastAsia"/>
          <w:szCs w:val="21"/>
        </w:rPr>
        <w:t>下游α</w:t>
      </w:r>
      <w:proofErr w:type="gramEnd"/>
      <w:r w:rsidR="003A4DFF" w:rsidRPr="00BC560D">
        <w:rPr>
          <w:rFonts w:ascii="宋体" w:eastAsia="宋体" w:hAnsi="宋体" w:hint="eastAsia"/>
          <w:szCs w:val="21"/>
        </w:rPr>
        <w:t>-类胡萝卜素途径的转化，使得紫叶黄心木薯的β-类胡萝卜素含量低于</w:t>
      </w:r>
      <w:r w:rsidR="003A4DFF" w:rsidRPr="00BC560D">
        <w:rPr>
          <w:rFonts w:ascii="宋体" w:eastAsia="宋体" w:hAnsi="宋体"/>
          <w:szCs w:val="21"/>
        </w:rPr>
        <w:t>SC9</w:t>
      </w:r>
      <w:r w:rsidR="00CC787C" w:rsidRPr="00BC560D">
        <w:rPr>
          <w:rFonts w:ascii="宋体" w:eastAsia="宋体" w:hAnsi="宋体" w:hint="eastAsia"/>
          <w:szCs w:val="21"/>
        </w:rPr>
        <w:t>。</w:t>
      </w:r>
      <w:r w:rsidRPr="00BC560D">
        <w:rPr>
          <w:rFonts w:ascii="宋体" w:eastAsia="宋体" w:hAnsi="宋体" w:hint="eastAsia"/>
          <w:szCs w:val="21"/>
        </w:rPr>
        <w:t>粉红木薯两个</w:t>
      </w:r>
      <w:r w:rsidR="003A4DFF" w:rsidRPr="00BC560D">
        <w:rPr>
          <w:rFonts w:ascii="宋体" w:eastAsia="宋体" w:hAnsi="宋体" w:hint="eastAsia"/>
          <w:szCs w:val="21"/>
        </w:rPr>
        <w:t>番茄红素分支酶</w:t>
      </w:r>
      <w:r w:rsidRPr="00BC560D">
        <w:rPr>
          <w:rFonts w:ascii="宋体" w:eastAsia="宋体" w:hAnsi="宋体" w:hint="eastAsia"/>
          <w:szCs w:val="21"/>
        </w:rPr>
        <w:t>基因</w:t>
      </w:r>
      <w:r w:rsidR="003A4DFF" w:rsidRPr="00BC560D">
        <w:rPr>
          <w:rFonts w:ascii="宋体" w:eastAsia="宋体" w:hAnsi="宋体" w:hint="eastAsia"/>
          <w:szCs w:val="21"/>
        </w:rPr>
        <w:t>（LYCB和LYCE</w:t>
      </w:r>
      <w:r w:rsidR="003A4DFF" w:rsidRPr="00BC560D">
        <w:rPr>
          <w:rFonts w:ascii="宋体" w:eastAsia="宋体" w:hAnsi="宋体"/>
          <w:szCs w:val="21"/>
        </w:rPr>
        <w:t>）</w:t>
      </w:r>
      <w:r w:rsidR="003A4DFF" w:rsidRPr="00BC560D">
        <w:rPr>
          <w:rFonts w:ascii="宋体" w:eastAsia="宋体" w:hAnsi="宋体" w:hint="eastAsia"/>
          <w:szCs w:val="21"/>
        </w:rPr>
        <w:t>在两个时期相对于对照SC6068</w:t>
      </w:r>
      <w:r w:rsidRPr="00BC560D">
        <w:rPr>
          <w:rFonts w:ascii="宋体" w:eastAsia="宋体" w:hAnsi="宋体" w:hint="eastAsia"/>
          <w:szCs w:val="21"/>
        </w:rPr>
        <w:t>极显著下调表达</w:t>
      </w:r>
      <w:r w:rsidR="003A4DFF" w:rsidRPr="00BC560D">
        <w:rPr>
          <w:rFonts w:ascii="宋体" w:eastAsia="宋体" w:hAnsi="宋体" w:hint="eastAsia"/>
          <w:szCs w:val="21"/>
        </w:rPr>
        <w:t>造成β-类胡萝卜素含量的降低</w:t>
      </w:r>
      <w:r w:rsidRPr="00BC560D">
        <w:rPr>
          <w:rFonts w:ascii="宋体" w:eastAsia="宋体" w:hAnsi="宋体" w:hint="eastAsia"/>
          <w:szCs w:val="21"/>
        </w:rPr>
        <w:t>。</w:t>
      </w:r>
      <w:r w:rsidR="00B95931" w:rsidRPr="00BC560D">
        <w:rPr>
          <w:rFonts w:ascii="宋体" w:eastAsia="宋体" w:hAnsi="宋体" w:hint="eastAsia"/>
          <w:szCs w:val="21"/>
        </w:rPr>
        <w:t>PSY是决定植物组织中类</w:t>
      </w:r>
      <w:r w:rsidR="00B95931" w:rsidRPr="00BC560D">
        <w:rPr>
          <w:rFonts w:ascii="宋体" w:eastAsia="宋体" w:hAnsi="宋体" w:hint="eastAsia"/>
          <w:szCs w:val="21"/>
        </w:rPr>
        <w:lastRenderedPageBreak/>
        <w:t>胡萝卜素总量的核心催化酶</w:t>
      </w:r>
      <w:r w:rsidR="000D2628" w:rsidRPr="00BC560D">
        <w:rPr>
          <w:rFonts w:ascii="宋体" w:eastAsia="宋体" w:hAnsi="宋体" w:hint="eastAsia"/>
          <w:szCs w:val="21"/>
          <w:vertAlign w:val="superscript"/>
        </w:rPr>
        <w:t>【</w:t>
      </w:r>
      <w:r w:rsidR="009B2B42" w:rsidRPr="00BC560D">
        <w:rPr>
          <w:rFonts w:ascii="宋体" w:eastAsia="宋体" w:hAnsi="宋体" w:hint="eastAsia"/>
          <w:szCs w:val="21"/>
          <w:vertAlign w:val="superscript"/>
        </w:rPr>
        <w:t>24</w:t>
      </w:r>
      <w:r w:rsidR="000D2628" w:rsidRPr="00BC560D">
        <w:rPr>
          <w:rFonts w:ascii="宋体" w:eastAsia="宋体" w:hAnsi="宋体" w:hint="eastAsia"/>
          <w:szCs w:val="21"/>
          <w:vertAlign w:val="superscript"/>
        </w:rPr>
        <w:t>】</w:t>
      </w:r>
      <w:r w:rsidR="000D2628" w:rsidRPr="00BC560D">
        <w:rPr>
          <w:rFonts w:ascii="宋体" w:eastAsia="宋体" w:hAnsi="宋体" w:hint="eastAsia"/>
          <w:szCs w:val="21"/>
        </w:rPr>
        <w:t>，</w:t>
      </w:r>
      <w:r w:rsidR="00CC787C" w:rsidRPr="00BC560D" w:rsidDel="00CC787C">
        <w:rPr>
          <w:rFonts w:ascii="宋体" w:eastAsia="宋体" w:hAnsi="宋体" w:hint="eastAsia"/>
          <w:szCs w:val="21"/>
        </w:rPr>
        <w:t xml:space="preserve"> </w:t>
      </w:r>
      <w:r w:rsidR="00FB4484" w:rsidRPr="00BC560D">
        <w:rPr>
          <w:rFonts w:ascii="宋体" w:eastAsia="宋体" w:hAnsi="宋体" w:hint="eastAsia"/>
          <w:szCs w:val="21"/>
        </w:rPr>
        <w:t>在木薯中，</w:t>
      </w:r>
      <w:r w:rsidR="00B95931" w:rsidRPr="00BC560D">
        <w:rPr>
          <w:rFonts w:ascii="宋体" w:eastAsia="宋体" w:hAnsi="宋体" w:hint="eastAsia"/>
          <w:szCs w:val="21"/>
        </w:rPr>
        <w:t>PSY1主要参与叶片类胡萝卜素合成，而PSY2主要在块根中表达</w:t>
      </w:r>
      <w:r w:rsidR="00B95931" w:rsidRPr="00BC560D">
        <w:rPr>
          <w:rFonts w:ascii="宋体" w:eastAsia="宋体" w:hAnsi="宋体" w:hint="eastAsia"/>
          <w:szCs w:val="21"/>
          <w:vertAlign w:val="superscript"/>
        </w:rPr>
        <w:t>【</w:t>
      </w:r>
      <w:r w:rsidR="009B2B42" w:rsidRPr="00BC560D">
        <w:rPr>
          <w:rFonts w:ascii="宋体" w:eastAsia="宋体" w:hAnsi="宋体" w:hint="eastAsia"/>
          <w:szCs w:val="21"/>
          <w:vertAlign w:val="superscript"/>
        </w:rPr>
        <w:t>25</w:t>
      </w:r>
      <w:r w:rsidR="00B95931" w:rsidRPr="00BC560D">
        <w:rPr>
          <w:rFonts w:ascii="宋体" w:eastAsia="宋体" w:hAnsi="宋体" w:hint="eastAsia"/>
          <w:szCs w:val="21"/>
          <w:vertAlign w:val="superscript"/>
        </w:rPr>
        <w:t>】</w:t>
      </w:r>
      <w:r w:rsidR="00F1343A" w:rsidRPr="00BC560D">
        <w:rPr>
          <w:rFonts w:ascii="宋体" w:eastAsia="宋体" w:hAnsi="宋体" w:hint="eastAsia"/>
          <w:szCs w:val="21"/>
        </w:rPr>
        <w:t>，</w:t>
      </w:r>
      <w:r w:rsidR="00E66EE5" w:rsidRPr="00BC560D">
        <w:rPr>
          <w:rFonts w:ascii="宋体" w:eastAsia="宋体" w:hAnsi="宋体"/>
          <w:szCs w:val="21"/>
        </w:rPr>
        <w:t>SC9</w:t>
      </w:r>
      <w:r w:rsidR="00E66EE5" w:rsidRPr="00BC560D">
        <w:rPr>
          <w:rFonts w:ascii="宋体" w:eastAsia="宋体" w:hAnsi="宋体" w:hint="eastAsia"/>
          <w:szCs w:val="21"/>
        </w:rPr>
        <w:t>和紫叶黄心木薯中PSY2在成熟期的表达量显著高于膨大期，</w:t>
      </w:r>
      <w:r w:rsidR="00F1343A" w:rsidRPr="00BC560D">
        <w:rPr>
          <w:rFonts w:ascii="宋体" w:eastAsia="宋体" w:hAnsi="宋体" w:hint="eastAsia"/>
          <w:szCs w:val="21"/>
        </w:rPr>
        <w:t>表明这两个品种</w:t>
      </w:r>
      <w:r w:rsidR="00A809AE" w:rsidRPr="00BC560D">
        <w:rPr>
          <w:rFonts w:ascii="宋体" w:eastAsia="宋体" w:hAnsi="宋体" w:hint="eastAsia"/>
          <w:szCs w:val="21"/>
        </w:rPr>
        <w:t>在成熟期</w:t>
      </w:r>
      <w:r w:rsidR="00F1343A" w:rsidRPr="00BC560D">
        <w:rPr>
          <w:rFonts w:ascii="宋体" w:eastAsia="宋体" w:hAnsi="宋体" w:hint="eastAsia"/>
          <w:szCs w:val="21"/>
        </w:rPr>
        <w:t>的类胡萝卜素合成活性相当活跃。</w:t>
      </w:r>
      <w:r w:rsidR="00E66EE5" w:rsidRPr="00BC560D">
        <w:rPr>
          <w:rFonts w:ascii="宋体" w:eastAsia="宋体" w:hAnsi="宋体" w:hint="eastAsia"/>
          <w:szCs w:val="21"/>
        </w:rPr>
        <w:t>而粉红木薯</w:t>
      </w:r>
      <w:proofErr w:type="spellStart"/>
      <w:r w:rsidR="00E66EE5" w:rsidRPr="00BC560D">
        <w:rPr>
          <w:rFonts w:ascii="宋体" w:eastAsia="宋体" w:hAnsi="宋体" w:hint="eastAsia"/>
          <w:szCs w:val="21"/>
        </w:rPr>
        <w:t>Mirasol</w:t>
      </w:r>
      <w:proofErr w:type="spellEnd"/>
      <w:r w:rsidR="00E66EE5" w:rsidRPr="00BC560D">
        <w:rPr>
          <w:rFonts w:ascii="宋体" w:eastAsia="宋体" w:hAnsi="宋体" w:hint="eastAsia"/>
          <w:szCs w:val="21"/>
        </w:rPr>
        <w:t>膨大期的PSY2</w:t>
      </w:r>
      <w:r w:rsidR="00A809AE" w:rsidRPr="00BC560D">
        <w:rPr>
          <w:rFonts w:ascii="宋体" w:eastAsia="宋体" w:hAnsi="宋体" w:hint="eastAsia"/>
          <w:szCs w:val="21"/>
        </w:rPr>
        <w:t>在</w:t>
      </w:r>
      <w:r w:rsidR="00DC24FD" w:rsidRPr="00BC560D">
        <w:rPr>
          <w:rFonts w:ascii="宋体" w:eastAsia="宋体" w:hAnsi="宋体" w:hint="eastAsia"/>
          <w:szCs w:val="21"/>
        </w:rPr>
        <w:t>成熟期</w:t>
      </w:r>
      <w:r w:rsidR="00A809AE" w:rsidRPr="00BC560D">
        <w:rPr>
          <w:rFonts w:ascii="宋体" w:eastAsia="宋体" w:hAnsi="宋体" w:hint="eastAsia"/>
          <w:szCs w:val="21"/>
        </w:rPr>
        <w:t>的表达量</w:t>
      </w:r>
      <w:r w:rsidR="00F65FE5" w:rsidRPr="00BC560D">
        <w:rPr>
          <w:rFonts w:ascii="宋体" w:eastAsia="宋体" w:hAnsi="宋体" w:hint="eastAsia"/>
          <w:szCs w:val="21"/>
        </w:rPr>
        <w:t>显著</w:t>
      </w:r>
      <w:r w:rsidR="00A809AE" w:rsidRPr="00BC560D">
        <w:rPr>
          <w:rFonts w:ascii="宋体" w:eastAsia="宋体" w:hAnsi="宋体" w:hint="eastAsia"/>
          <w:szCs w:val="21"/>
        </w:rPr>
        <w:t>下调</w:t>
      </w:r>
      <w:r w:rsidR="00DC24FD" w:rsidRPr="00BC560D">
        <w:rPr>
          <w:rFonts w:ascii="宋体" w:eastAsia="宋体" w:hAnsi="宋体" w:hint="eastAsia"/>
          <w:szCs w:val="21"/>
        </w:rPr>
        <w:t>，表明随着生长发育的进行其类胡萝卜素合成的相关能力降低。</w:t>
      </w:r>
    </w:p>
    <w:p w:rsidR="004126B8" w:rsidRPr="00BC560D" w:rsidRDefault="00E32E21" w:rsidP="00BC560D">
      <w:pPr>
        <w:spacing w:line="360" w:lineRule="auto"/>
        <w:ind w:firstLineChars="200" w:firstLine="420"/>
        <w:rPr>
          <w:rFonts w:ascii="宋体" w:eastAsia="宋体" w:hAnsi="宋体"/>
          <w:szCs w:val="21"/>
        </w:rPr>
      </w:pPr>
      <w:r w:rsidRPr="00BC560D">
        <w:rPr>
          <w:rFonts w:ascii="宋体" w:eastAsia="宋体" w:hAnsi="宋体" w:hint="eastAsia"/>
          <w:szCs w:val="21"/>
        </w:rPr>
        <w:t>在类胡萝卜素降解相关基因中，</w:t>
      </w:r>
      <w:r w:rsidR="000D2F92" w:rsidRPr="00BC560D">
        <w:rPr>
          <w:rFonts w:ascii="宋体" w:eastAsia="宋体" w:hAnsi="宋体" w:hint="eastAsia"/>
          <w:szCs w:val="21"/>
        </w:rPr>
        <w:t>与对照</w:t>
      </w:r>
      <w:r w:rsidR="000D2F92" w:rsidRPr="00BC560D">
        <w:rPr>
          <w:rFonts w:ascii="宋体" w:eastAsia="宋体" w:hAnsi="宋体"/>
          <w:szCs w:val="21"/>
        </w:rPr>
        <w:t>SC6068相比，</w:t>
      </w:r>
      <w:r w:rsidR="00263C3B" w:rsidRPr="00BC560D">
        <w:rPr>
          <w:rFonts w:ascii="宋体" w:eastAsia="宋体" w:hAnsi="宋体" w:hint="eastAsia"/>
          <w:szCs w:val="21"/>
        </w:rPr>
        <w:t>SC9的</w:t>
      </w:r>
      <w:r w:rsidR="00263C3B" w:rsidRPr="00BC560D">
        <w:rPr>
          <w:rFonts w:ascii="宋体" w:eastAsia="宋体" w:hAnsi="宋体"/>
          <w:szCs w:val="21"/>
        </w:rPr>
        <w:t>CCD1</w:t>
      </w:r>
      <w:r w:rsidR="00263C3B" w:rsidRPr="00BC560D">
        <w:rPr>
          <w:rFonts w:ascii="宋体" w:eastAsia="宋体" w:hAnsi="宋体" w:hint="eastAsia"/>
          <w:szCs w:val="21"/>
        </w:rPr>
        <w:t>基因在成熟期显著下调表明类胡萝卜素的积累很可能与CCD1的低转录活性有关，造成类胡萝卜素降解受到阻碍</w:t>
      </w:r>
      <w:r w:rsidRPr="00BC560D">
        <w:rPr>
          <w:rFonts w:ascii="宋体" w:eastAsia="宋体" w:hAnsi="宋体" w:hint="eastAsia"/>
          <w:szCs w:val="21"/>
        </w:rPr>
        <w:t>。</w:t>
      </w:r>
      <w:r w:rsidR="008E19A5" w:rsidRPr="00BC560D">
        <w:rPr>
          <w:rFonts w:ascii="宋体" w:eastAsia="宋体" w:hAnsi="宋体" w:hint="eastAsia"/>
          <w:szCs w:val="21"/>
        </w:rPr>
        <w:t>研究表明，</w:t>
      </w:r>
      <w:r w:rsidR="009B2B42" w:rsidRPr="00BC560D">
        <w:rPr>
          <w:rFonts w:ascii="宋体" w:eastAsia="宋体" w:hAnsi="宋体"/>
          <w:szCs w:val="21"/>
        </w:rPr>
        <w:t>CCD1可以在类胡萝卜素C9-C10</w:t>
      </w:r>
      <w:r w:rsidR="009B2B42" w:rsidRPr="00BC560D">
        <w:rPr>
          <w:rFonts w:ascii="宋体" w:eastAsia="宋体" w:hAnsi="宋体" w:hint="eastAsia"/>
          <w:szCs w:val="21"/>
        </w:rPr>
        <w:t>为切割番茄红素、胡萝卜素、玉米黄质等形成芳香类物质</w:t>
      </w:r>
      <w:r w:rsidR="008E19A5" w:rsidRPr="00BC560D">
        <w:rPr>
          <w:rFonts w:ascii="宋体" w:eastAsia="宋体" w:hAnsi="宋体" w:hint="eastAsia"/>
          <w:szCs w:val="21"/>
          <w:vertAlign w:val="superscript"/>
        </w:rPr>
        <w:t>【</w:t>
      </w:r>
      <w:r w:rsidR="009B2B42" w:rsidRPr="00BC560D">
        <w:rPr>
          <w:rFonts w:ascii="宋体" w:eastAsia="宋体" w:hAnsi="宋体"/>
          <w:szCs w:val="21"/>
          <w:vertAlign w:val="superscript"/>
        </w:rPr>
        <w:t>26</w:t>
      </w:r>
      <w:r w:rsidR="008E19A5" w:rsidRPr="00BC560D">
        <w:rPr>
          <w:rFonts w:ascii="宋体" w:eastAsia="宋体" w:hAnsi="宋体" w:hint="eastAsia"/>
          <w:szCs w:val="21"/>
          <w:vertAlign w:val="superscript"/>
        </w:rPr>
        <w:t>】</w:t>
      </w:r>
      <w:r w:rsidR="00263C3B" w:rsidRPr="00BC560D">
        <w:rPr>
          <w:rFonts w:ascii="宋体" w:eastAsia="宋体" w:hAnsi="宋体" w:hint="eastAsia"/>
          <w:szCs w:val="21"/>
        </w:rPr>
        <w:t>。</w:t>
      </w:r>
      <w:r w:rsidR="00A809AE" w:rsidRPr="00BC560D">
        <w:rPr>
          <w:rFonts w:ascii="宋体" w:eastAsia="宋体" w:hAnsi="宋体" w:hint="eastAsia"/>
          <w:szCs w:val="21"/>
        </w:rPr>
        <w:t>此外，</w:t>
      </w:r>
      <w:r w:rsidR="00A809AE" w:rsidRPr="00BC560D">
        <w:rPr>
          <w:rFonts w:ascii="宋体" w:eastAsia="宋体" w:hAnsi="宋体"/>
          <w:i/>
          <w:szCs w:val="21"/>
        </w:rPr>
        <w:t>NCED2</w:t>
      </w:r>
      <w:r w:rsidR="00A809AE" w:rsidRPr="00BC560D">
        <w:rPr>
          <w:rFonts w:ascii="宋体" w:eastAsia="宋体" w:hAnsi="宋体" w:hint="eastAsia"/>
          <w:szCs w:val="21"/>
        </w:rPr>
        <w:t>和</w:t>
      </w:r>
      <w:r w:rsidR="00A809AE" w:rsidRPr="00BC560D">
        <w:rPr>
          <w:rFonts w:ascii="宋体" w:eastAsia="宋体" w:hAnsi="宋体"/>
          <w:i/>
          <w:szCs w:val="21"/>
        </w:rPr>
        <w:t>NCED3</w:t>
      </w:r>
      <w:r w:rsidR="00A809AE" w:rsidRPr="00BC560D">
        <w:rPr>
          <w:rFonts w:ascii="宋体" w:eastAsia="宋体" w:hAnsi="宋体" w:hint="eastAsia"/>
          <w:szCs w:val="21"/>
        </w:rPr>
        <w:t>的在不同生育</w:t>
      </w:r>
      <w:proofErr w:type="gramStart"/>
      <w:r w:rsidR="00A809AE" w:rsidRPr="00BC560D">
        <w:rPr>
          <w:rFonts w:ascii="宋体" w:eastAsia="宋体" w:hAnsi="宋体" w:hint="eastAsia"/>
          <w:szCs w:val="21"/>
        </w:rPr>
        <w:t>期表达</w:t>
      </w:r>
      <w:proofErr w:type="gramEnd"/>
      <w:r w:rsidR="00A809AE" w:rsidRPr="00BC560D">
        <w:rPr>
          <w:rFonts w:ascii="宋体" w:eastAsia="宋体" w:hAnsi="宋体" w:hint="eastAsia"/>
          <w:szCs w:val="21"/>
        </w:rPr>
        <w:t>趋势并不一致，</w:t>
      </w:r>
      <w:r w:rsidR="00A809AE" w:rsidRPr="00BC560D">
        <w:rPr>
          <w:rFonts w:ascii="宋体" w:eastAsia="宋体" w:hAnsi="宋体"/>
          <w:szCs w:val="21"/>
        </w:rPr>
        <w:t>NCED2在三个品种中的成熟期的表达量都要高于膨大期，而NCED3</w:t>
      </w:r>
      <w:r w:rsidR="00A809AE" w:rsidRPr="00BC560D">
        <w:rPr>
          <w:rFonts w:ascii="宋体" w:eastAsia="宋体" w:hAnsi="宋体" w:hint="eastAsia"/>
          <w:szCs w:val="21"/>
        </w:rPr>
        <w:t>的表达趋势与</w:t>
      </w:r>
      <w:r w:rsidR="00A809AE" w:rsidRPr="00BC560D">
        <w:rPr>
          <w:rFonts w:ascii="宋体" w:eastAsia="宋体" w:hAnsi="宋体"/>
          <w:szCs w:val="21"/>
        </w:rPr>
        <w:t>NCED2相反。</w:t>
      </w:r>
      <w:r w:rsidR="008E19A5" w:rsidRPr="00BC560D">
        <w:rPr>
          <w:rFonts w:ascii="宋体" w:eastAsia="宋体" w:hAnsi="宋体" w:hint="eastAsia"/>
          <w:szCs w:val="21"/>
        </w:rPr>
        <w:t>在木薯中，</w:t>
      </w:r>
      <w:r w:rsidR="008E19A5" w:rsidRPr="00BC560D">
        <w:rPr>
          <w:rFonts w:ascii="宋体" w:eastAsia="宋体" w:hAnsi="宋体"/>
          <w:szCs w:val="21"/>
        </w:rPr>
        <w:t>NCED2在叶片中高表达，而NCED3在块根中的表达量要高于NCED2</w:t>
      </w:r>
      <w:r w:rsidR="008E19A5" w:rsidRPr="00BC560D">
        <w:rPr>
          <w:rFonts w:ascii="宋体" w:eastAsia="宋体" w:hAnsi="宋体" w:hint="eastAsia"/>
          <w:szCs w:val="21"/>
          <w:vertAlign w:val="superscript"/>
        </w:rPr>
        <w:t>【</w:t>
      </w:r>
      <w:r w:rsidR="009B2B42" w:rsidRPr="00BC560D">
        <w:rPr>
          <w:rFonts w:ascii="宋体" w:eastAsia="宋体" w:hAnsi="宋体"/>
          <w:szCs w:val="21"/>
          <w:vertAlign w:val="superscript"/>
        </w:rPr>
        <w:t>7</w:t>
      </w:r>
      <w:r w:rsidR="008E19A5" w:rsidRPr="00BC560D">
        <w:rPr>
          <w:rFonts w:ascii="宋体" w:eastAsia="宋体" w:hAnsi="宋体" w:hint="eastAsia"/>
          <w:szCs w:val="21"/>
          <w:vertAlign w:val="superscript"/>
        </w:rPr>
        <w:t>】</w:t>
      </w:r>
      <w:r w:rsidR="008E19A5" w:rsidRPr="00BC560D">
        <w:rPr>
          <w:rFonts w:ascii="宋体" w:eastAsia="宋体" w:hAnsi="宋体" w:hint="eastAsia"/>
          <w:szCs w:val="21"/>
        </w:rPr>
        <w:t>，而</w:t>
      </w:r>
      <w:r w:rsidR="008E19A5" w:rsidRPr="00BC560D">
        <w:rPr>
          <w:rFonts w:ascii="宋体" w:eastAsia="宋体" w:hAnsi="宋体"/>
          <w:szCs w:val="21"/>
        </w:rPr>
        <w:t>NCED是控制类胡萝卜素向ABA转化的限速酶。SC9</w:t>
      </w:r>
      <w:r w:rsidR="00062FFF" w:rsidRPr="00BC560D">
        <w:rPr>
          <w:rFonts w:ascii="宋体" w:eastAsia="宋体" w:hAnsi="宋体"/>
          <w:szCs w:val="21"/>
        </w:rPr>
        <w:t>和紫叶黄心木薯在</w:t>
      </w:r>
      <w:r w:rsidR="00062FFF" w:rsidRPr="00BC560D">
        <w:rPr>
          <w:rFonts w:ascii="宋体" w:eastAsia="宋体" w:hAnsi="宋体" w:hint="eastAsia"/>
          <w:szCs w:val="21"/>
        </w:rPr>
        <w:t>成熟期</w:t>
      </w:r>
      <w:r w:rsidR="008E19A5" w:rsidRPr="00BC560D">
        <w:rPr>
          <w:rFonts w:ascii="宋体" w:eastAsia="宋体" w:hAnsi="宋体"/>
          <w:szCs w:val="21"/>
        </w:rPr>
        <w:t>NCED3基因的表达量</w:t>
      </w:r>
      <w:r w:rsidR="00062FFF" w:rsidRPr="00BC560D">
        <w:rPr>
          <w:rFonts w:ascii="宋体" w:eastAsia="宋体" w:hAnsi="宋体" w:hint="eastAsia"/>
          <w:szCs w:val="21"/>
        </w:rPr>
        <w:t>显著</w:t>
      </w:r>
      <w:r w:rsidR="008E19A5" w:rsidRPr="00BC560D">
        <w:rPr>
          <w:rFonts w:ascii="宋体" w:eastAsia="宋体" w:hAnsi="宋体"/>
          <w:szCs w:val="21"/>
        </w:rPr>
        <w:t>低于膨大期</w:t>
      </w:r>
      <w:r w:rsidR="009A4B30" w:rsidRPr="00BC560D">
        <w:rPr>
          <w:rFonts w:ascii="宋体" w:eastAsia="宋体" w:hAnsi="宋体" w:hint="eastAsia"/>
          <w:szCs w:val="21"/>
        </w:rPr>
        <w:t>，也是类胡萝卜素在成熟期高于膨大期的原因之一。</w:t>
      </w:r>
    </w:p>
    <w:p w:rsidR="003561CE" w:rsidRPr="00BC560D" w:rsidRDefault="0020204C" w:rsidP="00BC560D">
      <w:pPr>
        <w:spacing w:line="360" w:lineRule="auto"/>
        <w:ind w:firstLineChars="200" w:firstLine="420"/>
        <w:rPr>
          <w:rFonts w:ascii="宋体" w:eastAsia="宋体" w:hAnsi="宋体"/>
          <w:szCs w:val="21"/>
        </w:rPr>
      </w:pPr>
      <w:r w:rsidRPr="00BC560D">
        <w:rPr>
          <w:rFonts w:ascii="宋体" w:eastAsia="宋体" w:hAnsi="宋体" w:hint="eastAsia"/>
          <w:szCs w:val="21"/>
        </w:rPr>
        <w:t>分子伴侣</w:t>
      </w:r>
      <w:r w:rsidRPr="00BC560D">
        <w:rPr>
          <w:rFonts w:ascii="宋体" w:eastAsia="宋体" w:hAnsi="宋体"/>
          <w:szCs w:val="21"/>
        </w:rPr>
        <w:t>HSP70</w:t>
      </w:r>
      <w:r w:rsidR="00D12F30" w:rsidRPr="00BC560D">
        <w:rPr>
          <w:rFonts w:ascii="宋体" w:eastAsia="宋体" w:hAnsi="宋体" w:hint="eastAsia"/>
          <w:szCs w:val="21"/>
        </w:rPr>
        <w:t>在品种间差异不显著但都随着生长发育的进行呈现下调的趋势</w:t>
      </w:r>
      <w:r w:rsidR="00295D9A" w:rsidRPr="00BC560D">
        <w:rPr>
          <w:rFonts w:ascii="宋体" w:eastAsia="宋体" w:hAnsi="宋体" w:hint="eastAsia"/>
          <w:szCs w:val="21"/>
        </w:rPr>
        <w:t>，其表达的下调也伴随着</w:t>
      </w:r>
      <w:r w:rsidR="00295D9A" w:rsidRPr="00BC560D">
        <w:rPr>
          <w:rFonts w:ascii="宋体" w:eastAsia="宋体" w:hAnsi="宋体"/>
          <w:szCs w:val="21"/>
        </w:rPr>
        <w:t>PDS表达的下调，与HSP70</w:t>
      </w:r>
      <w:r w:rsidR="00295D9A" w:rsidRPr="00BC560D">
        <w:rPr>
          <w:rFonts w:ascii="宋体" w:eastAsia="宋体" w:hAnsi="宋体" w:hint="eastAsia"/>
          <w:szCs w:val="21"/>
        </w:rPr>
        <w:t>在水仙花有色体中组成蛋白质复合体并</w:t>
      </w:r>
      <w:proofErr w:type="gramStart"/>
      <w:r w:rsidR="00295D9A" w:rsidRPr="00BC560D">
        <w:rPr>
          <w:rFonts w:ascii="宋体" w:eastAsia="宋体" w:hAnsi="宋体" w:hint="eastAsia"/>
          <w:szCs w:val="21"/>
        </w:rPr>
        <w:t>调控八氢番茄红素</w:t>
      </w:r>
      <w:proofErr w:type="gramEnd"/>
      <w:r w:rsidR="00295D9A" w:rsidRPr="00BC560D">
        <w:rPr>
          <w:rFonts w:ascii="宋体" w:eastAsia="宋体" w:hAnsi="宋体" w:hint="eastAsia"/>
          <w:szCs w:val="21"/>
        </w:rPr>
        <w:t>脱氢酶</w:t>
      </w:r>
      <w:r w:rsidR="00062FFF" w:rsidRPr="00BC560D">
        <w:rPr>
          <w:rFonts w:ascii="宋体" w:eastAsia="宋体" w:hAnsi="宋体" w:hint="eastAsia"/>
          <w:szCs w:val="21"/>
        </w:rPr>
        <w:t>（PDS</w:t>
      </w:r>
      <w:r w:rsidR="00062FFF" w:rsidRPr="00BC560D">
        <w:rPr>
          <w:rFonts w:ascii="宋体" w:eastAsia="宋体" w:hAnsi="宋体"/>
          <w:szCs w:val="21"/>
        </w:rPr>
        <w:t>）</w:t>
      </w:r>
      <w:r w:rsidR="00295D9A" w:rsidRPr="00BC560D">
        <w:rPr>
          <w:rFonts w:ascii="宋体" w:eastAsia="宋体" w:hAnsi="宋体" w:hint="eastAsia"/>
          <w:szCs w:val="21"/>
        </w:rPr>
        <w:t>的活性</w:t>
      </w:r>
      <w:r w:rsidR="00295D9A" w:rsidRPr="00BC560D">
        <w:rPr>
          <w:rFonts w:ascii="宋体" w:eastAsia="宋体" w:hAnsi="宋体" w:hint="eastAsia"/>
          <w:szCs w:val="21"/>
          <w:vertAlign w:val="superscript"/>
        </w:rPr>
        <w:t>【</w:t>
      </w:r>
      <w:r w:rsidR="009B2B42" w:rsidRPr="00BC560D">
        <w:rPr>
          <w:rFonts w:ascii="宋体" w:eastAsia="宋体" w:hAnsi="宋体"/>
          <w:szCs w:val="21"/>
          <w:vertAlign w:val="superscript"/>
        </w:rPr>
        <w:t>27</w:t>
      </w:r>
      <w:r w:rsidR="00295D9A" w:rsidRPr="00BC560D">
        <w:rPr>
          <w:rFonts w:ascii="宋体" w:eastAsia="宋体" w:hAnsi="宋体" w:hint="eastAsia"/>
          <w:szCs w:val="21"/>
          <w:vertAlign w:val="superscript"/>
        </w:rPr>
        <w:t>】</w:t>
      </w:r>
      <w:r w:rsidR="00295D9A" w:rsidRPr="00BC560D">
        <w:rPr>
          <w:rFonts w:ascii="宋体" w:eastAsia="宋体" w:hAnsi="宋体" w:hint="eastAsia"/>
          <w:szCs w:val="21"/>
        </w:rPr>
        <w:t>结果相一致。</w:t>
      </w:r>
      <w:r w:rsidR="008A6F01" w:rsidRPr="00BC560D">
        <w:rPr>
          <w:rFonts w:ascii="宋体" w:eastAsia="宋体" w:hAnsi="宋体" w:hint="eastAsia"/>
          <w:szCs w:val="21"/>
        </w:rPr>
        <w:t>细胞内活性氧</w:t>
      </w:r>
      <w:r w:rsidR="003561CE" w:rsidRPr="00BC560D">
        <w:rPr>
          <w:rFonts w:ascii="宋体" w:eastAsia="宋体" w:hAnsi="宋体" w:hint="eastAsia"/>
          <w:szCs w:val="21"/>
        </w:rPr>
        <w:t>相关酶：谷胱甘肽还原酶（GR</w:t>
      </w:r>
      <w:r w:rsidR="003561CE" w:rsidRPr="00BC560D">
        <w:rPr>
          <w:rFonts w:ascii="宋体" w:eastAsia="宋体" w:hAnsi="宋体"/>
          <w:szCs w:val="21"/>
        </w:rPr>
        <w:t>）</w:t>
      </w:r>
      <w:r w:rsidR="003561CE" w:rsidRPr="00BC560D">
        <w:rPr>
          <w:rFonts w:ascii="宋体" w:eastAsia="宋体" w:hAnsi="宋体" w:hint="eastAsia"/>
          <w:szCs w:val="21"/>
        </w:rPr>
        <w:t>与抗坏血酸过氧化物酶（APX</w:t>
      </w:r>
      <w:r w:rsidR="003561CE" w:rsidRPr="00BC560D">
        <w:rPr>
          <w:rFonts w:ascii="宋体" w:eastAsia="宋体" w:hAnsi="宋体"/>
          <w:szCs w:val="21"/>
        </w:rPr>
        <w:t>）</w:t>
      </w:r>
      <w:r w:rsidR="003561CE" w:rsidRPr="00BC560D">
        <w:rPr>
          <w:rFonts w:ascii="宋体" w:eastAsia="宋体" w:hAnsi="宋体" w:hint="eastAsia"/>
          <w:szCs w:val="21"/>
        </w:rPr>
        <w:t>在</w:t>
      </w:r>
      <w:r w:rsidR="00462ED3" w:rsidRPr="00BC560D">
        <w:rPr>
          <w:rFonts w:ascii="宋体" w:eastAsia="宋体" w:hAnsi="宋体" w:hint="eastAsia"/>
          <w:szCs w:val="21"/>
        </w:rPr>
        <w:t>四个品种</w:t>
      </w:r>
      <w:r w:rsidR="003561CE" w:rsidRPr="00BC560D">
        <w:rPr>
          <w:rFonts w:ascii="宋体" w:eastAsia="宋体" w:hAnsi="宋体" w:hint="eastAsia"/>
          <w:szCs w:val="21"/>
        </w:rPr>
        <w:t>成熟期的表达量要高于膨大期，</w:t>
      </w:r>
      <w:r w:rsidR="00462ED3" w:rsidRPr="00BC560D">
        <w:rPr>
          <w:rFonts w:ascii="宋体" w:eastAsia="宋体" w:hAnsi="宋体" w:hint="eastAsia"/>
          <w:szCs w:val="21"/>
        </w:rPr>
        <w:t>高活性的</w:t>
      </w:r>
      <w:r w:rsidR="002D3661" w:rsidRPr="00BC560D">
        <w:rPr>
          <w:rFonts w:ascii="宋体" w:eastAsia="宋体" w:hAnsi="宋体" w:hint="eastAsia"/>
          <w:szCs w:val="21"/>
        </w:rPr>
        <w:t>活性氧相关酶能够保护质体相关组分免受氧化胁迫并使质体能够适应有色体发育过程中代谢变化，维持质体的稳态</w:t>
      </w:r>
      <w:r w:rsidR="00462ED3" w:rsidRPr="00BC560D">
        <w:rPr>
          <w:rFonts w:ascii="宋体" w:eastAsia="宋体" w:hAnsi="宋体" w:hint="eastAsia"/>
          <w:szCs w:val="21"/>
        </w:rPr>
        <w:t>，</w:t>
      </w:r>
      <w:r w:rsidR="002D3661" w:rsidRPr="00BC560D">
        <w:rPr>
          <w:rFonts w:ascii="宋体" w:eastAsia="宋体" w:hAnsi="宋体" w:hint="eastAsia"/>
          <w:szCs w:val="21"/>
        </w:rPr>
        <w:t>与辣椒转色中有色体的合成伴随着活性氧相关</w:t>
      </w:r>
      <w:proofErr w:type="gramStart"/>
      <w:r w:rsidR="002D3661" w:rsidRPr="00BC560D">
        <w:rPr>
          <w:rFonts w:ascii="宋体" w:eastAsia="宋体" w:hAnsi="宋体" w:hint="eastAsia"/>
          <w:szCs w:val="21"/>
        </w:rPr>
        <w:t>酶高表达</w:t>
      </w:r>
      <w:proofErr w:type="gramEnd"/>
      <w:r w:rsidR="002D3661" w:rsidRPr="00BC560D">
        <w:rPr>
          <w:rFonts w:ascii="宋体" w:eastAsia="宋体" w:hAnsi="宋体" w:hint="eastAsia"/>
          <w:szCs w:val="21"/>
          <w:vertAlign w:val="superscript"/>
        </w:rPr>
        <w:t>【</w:t>
      </w:r>
      <w:r w:rsidR="002D3661" w:rsidRPr="00BC560D">
        <w:rPr>
          <w:rFonts w:ascii="宋体" w:eastAsia="宋体" w:hAnsi="宋体"/>
          <w:szCs w:val="21"/>
          <w:vertAlign w:val="superscript"/>
        </w:rPr>
        <w:t>28</w:t>
      </w:r>
      <w:r w:rsidR="002D3661" w:rsidRPr="00BC560D">
        <w:rPr>
          <w:rFonts w:ascii="宋体" w:eastAsia="宋体" w:hAnsi="宋体" w:hint="eastAsia"/>
          <w:szCs w:val="21"/>
          <w:vertAlign w:val="superscript"/>
        </w:rPr>
        <w:t>】</w:t>
      </w:r>
      <w:r w:rsidR="002D3661" w:rsidRPr="00BC560D">
        <w:rPr>
          <w:rFonts w:ascii="宋体" w:eastAsia="宋体" w:hAnsi="宋体" w:hint="eastAsia"/>
          <w:szCs w:val="21"/>
        </w:rPr>
        <w:t>结果相一致。</w:t>
      </w:r>
      <w:r w:rsidR="001705E4" w:rsidRPr="00BC560D">
        <w:rPr>
          <w:rFonts w:ascii="宋体" w:eastAsia="宋体" w:hAnsi="宋体" w:hint="eastAsia"/>
          <w:szCs w:val="21"/>
        </w:rPr>
        <w:t>但相同时期</w:t>
      </w:r>
      <w:proofErr w:type="gramStart"/>
      <w:r w:rsidR="001705E4" w:rsidRPr="00BC560D">
        <w:rPr>
          <w:rFonts w:ascii="宋体" w:eastAsia="宋体" w:hAnsi="宋体" w:hint="eastAsia"/>
          <w:szCs w:val="21"/>
        </w:rPr>
        <w:t>内品种</w:t>
      </w:r>
      <w:proofErr w:type="gramEnd"/>
      <w:r w:rsidR="001705E4" w:rsidRPr="00BC560D">
        <w:rPr>
          <w:rFonts w:ascii="宋体" w:eastAsia="宋体" w:hAnsi="宋体" w:hint="eastAsia"/>
          <w:szCs w:val="21"/>
        </w:rPr>
        <w:t>间活性氧相关酶的表达差异并不显著，可能其只参与质体的转化但不涉及类胡萝卜素的积累。而超氧化物歧化酶（</w:t>
      </w:r>
      <w:r w:rsidR="001705E4" w:rsidRPr="00BC560D">
        <w:rPr>
          <w:rFonts w:ascii="宋体" w:eastAsia="宋体" w:hAnsi="宋体"/>
          <w:szCs w:val="21"/>
        </w:rPr>
        <w:t>Fe-SOD</w:t>
      </w:r>
      <w:r w:rsidR="001705E4" w:rsidRPr="00BC560D">
        <w:rPr>
          <w:rFonts w:ascii="宋体" w:eastAsia="宋体" w:hAnsi="宋体" w:hint="eastAsia"/>
          <w:szCs w:val="21"/>
        </w:rPr>
        <w:t>）在不同品种发生的变化可能参与不同的功能。</w:t>
      </w:r>
      <w:r w:rsidR="00462ED3" w:rsidRPr="00BC560D">
        <w:rPr>
          <w:rFonts w:ascii="宋体" w:eastAsia="宋体" w:hAnsi="宋体" w:hint="eastAsia"/>
          <w:szCs w:val="21"/>
        </w:rPr>
        <w:t xml:space="preserve"> </w:t>
      </w:r>
    </w:p>
    <w:p w:rsidR="00A11200" w:rsidRPr="00BC560D" w:rsidRDefault="00A11200" w:rsidP="00BC560D">
      <w:pPr>
        <w:spacing w:line="360" w:lineRule="auto"/>
        <w:rPr>
          <w:rFonts w:ascii="宋体" w:eastAsia="宋体" w:hAnsi="宋体"/>
          <w:szCs w:val="21"/>
        </w:rPr>
      </w:pPr>
      <w:r w:rsidRPr="00BC560D">
        <w:rPr>
          <w:rFonts w:ascii="宋体" w:eastAsia="宋体" w:hAnsi="宋体" w:hint="eastAsia"/>
          <w:szCs w:val="21"/>
        </w:rPr>
        <w:t>4.</w:t>
      </w:r>
      <w:r w:rsidR="00CC787C" w:rsidRPr="00BC560D">
        <w:rPr>
          <w:rFonts w:ascii="宋体" w:eastAsia="宋体" w:hAnsi="宋体" w:hint="eastAsia"/>
          <w:szCs w:val="21"/>
        </w:rPr>
        <w:t xml:space="preserve"> </w:t>
      </w:r>
      <w:r w:rsidRPr="00BC560D">
        <w:rPr>
          <w:rFonts w:ascii="宋体" w:eastAsia="宋体" w:hAnsi="宋体" w:hint="eastAsia"/>
          <w:szCs w:val="21"/>
        </w:rPr>
        <w:t>结论</w:t>
      </w:r>
    </w:p>
    <w:p w:rsidR="00A11200" w:rsidRPr="00BC560D" w:rsidRDefault="00240E12" w:rsidP="00BC560D">
      <w:pPr>
        <w:pStyle w:val="a3"/>
        <w:spacing w:line="360" w:lineRule="auto"/>
        <w:rPr>
          <w:rFonts w:ascii="宋体" w:eastAsia="宋体" w:hAnsi="宋体"/>
          <w:szCs w:val="21"/>
        </w:rPr>
      </w:pPr>
      <w:r w:rsidRPr="00BC560D">
        <w:rPr>
          <w:rFonts w:ascii="宋体" w:eastAsia="宋体" w:hAnsi="宋体" w:hint="eastAsia"/>
          <w:szCs w:val="21"/>
        </w:rPr>
        <w:t>本研究对四个木薯品种的膨大期和成熟期类胡萝卜素相关酶和基因的研究，类胡萝卜素合成及降解关键基因</w:t>
      </w:r>
      <w:r w:rsidR="00C8414F" w:rsidRPr="00BC560D">
        <w:rPr>
          <w:rFonts w:ascii="宋体" w:eastAsia="宋体" w:hAnsi="宋体" w:hint="eastAsia"/>
          <w:szCs w:val="21"/>
        </w:rPr>
        <w:t>的变化</w:t>
      </w:r>
      <w:r w:rsidR="000E6BC7" w:rsidRPr="00BC560D">
        <w:rPr>
          <w:rFonts w:ascii="宋体" w:eastAsia="宋体" w:hAnsi="宋体" w:hint="eastAsia"/>
          <w:szCs w:val="21"/>
        </w:rPr>
        <w:t>是</w:t>
      </w:r>
      <w:r w:rsidRPr="00BC560D">
        <w:rPr>
          <w:rFonts w:ascii="宋体" w:eastAsia="宋体" w:hAnsi="宋体" w:hint="eastAsia"/>
          <w:szCs w:val="21"/>
        </w:rPr>
        <w:t>造成了不同品种间类胡萝卜素含量的变化</w:t>
      </w:r>
      <w:r w:rsidR="00C8414F" w:rsidRPr="00BC560D">
        <w:rPr>
          <w:rFonts w:ascii="宋体" w:eastAsia="宋体" w:hAnsi="宋体" w:hint="eastAsia"/>
          <w:szCs w:val="21"/>
        </w:rPr>
        <w:t>的原因之一</w:t>
      </w:r>
      <w:r w:rsidR="00C6798B" w:rsidRPr="00BC560D">
        <w:rPr>
          <w:rFonts w:ascii="宋体" w:eastAsia="宋体" w:hAnsi="宋体" w:hint="eastAsia"/>
          <w:szCs w:val="21"/>
        </w:rPr>
        <w:t>，而活性氧相关酶的变化也涉及到质体发育过程的变化</w:t>
      </w:r>
      <w:r w:rsidR="00C8414F" w:rsidRPr="00BC560D">
        <w:rPr>
          <w:rFonts w:ascii="宋体" w:eastAsia="宋体" w:hAnsi="宋体" w:hint="eastAsia"/>
          <w:szCs w:val="21"/>
        </w:rPr>
        <w:t>。这些研究结果有助于了解不同品种木薯类胡萝卜素分子机制，为将来进一步提高木薯块根类胡萝卜素含量奠定基础。</w:t>
      </w:r>
    </w:p>
    <w:p w:rsidR="005A6A51" w:rsidRPr="00BC560D" w:rsidRDefault="005A6A51" w:rsidP="005A6A51">
      <w:pPr>
        <w:ind w:firstLineChars="100" w:firstLine="150"/>
        <w:rPr>
          <w:rFonts w:ascii="宋体" w:eastAsia="宋体" w:hAnsi="宋体"/>
          <w:sz w:val="15"/>
          <w:szCs w:val="15"/>
        </w:rPr>
      </w:pPr>
      <w:r w:rsidRPr="00BC560D">
        <w:rPr>
          <w:rFonts w:ascii="宋体" w:eastAsia="宋体" w:hAnsi="宋体" w:hint="eastAsia"/>
          <w:sz w:val="15"/>
          <w:szCs w:val="15"/>
        </w:rPr>
        <w:t>参考文献</w:t>
      </w:r>
    </w:p>
    <w:p w:rsidR="005A6A51" w:rsidRPr="00BC560D" w:rsidRDefault="005A6A51" w:rsidP="00CF57DE">
      <w:pPr>
        <w:autoSpaceDE w:val="0"/>
        <w:autoSpaceDN w:val="0"/>
        <w:adjustRightInd w:val="0"/>
        <w:spacing w:line="360" w:lineRule="auto"/>
        <w:rPr>
          <w:rFonts w:ascii="Times New Roman" w:eastAsia="宋体" w:hAnsi="Times New Roman" w:cs="E-BZ+ZHIB2q-1"/>
          <w:color w:val="000000" w:themeColor="text1"/>
          <w:kern w:val="0"/>
          <w:sz w:val="15"/>
          <w:szCs w:val="15"/>
        </w:rPr>
      </w:pPr>
      <w:r w:rsidRPr="00BC560D">
        <w:rPr>
          <w:rFonts w:ascii="Times New Roman" w:eastAsia="宋体" w:hAnsi="Times New Roman" w:cs="AdobeHeitiStd-Regular" w:hint="eastAsia"/>
          <w:color w:val="000000" w:themeColor="text1"/>
          <w:kern w:val="0"/>
          <w:sz w:val="15"/>
          <w:szCs w:val="15"/>
        </w:rPr>
        <w:t xml:space="preserve">[1] </w:t>
      </w:r>
      <w:r w:rsidRPr="00BC560D">
        <w:rPr>
          <w:rFonts w:ascii="Times New Roman" w:eastAsia="宋体" w:hAnsi="Times New Roman" w:cs="AdobeHeitiStd-Regular" w:hint="eastAsia"/>
          <w:color w:val="000000" w:themeColor="text1"/>
          <w:kern w:val="0"/>
          <w:sz w:val="15"/>
          <w:szCs w:val="15"/>
        </w:rPr>
        <w:t>张振文，李开绵，叶剑秋，等</w:t>
      </w:r>
      <w:r w:rsidRPr="00BC560D">
        <w:rPr>
          <w:rFonts w:ascii="Times New Roman" w:eastAsia="宋体" w:hAnsi="Times New Roman" w:cs="E-BZ+ZHIB2q-1" w:hint="eastAsia"/>
          <w:color w:val="000000" w:themeColor="text1"/>
          <w:kern w:val="0"/>
          <w:sz w:val="15"/>
          <w:szCs w:val="15"/>
        </w:rPr>
        <w:t>.</w:t>
      </w:r>
      <w:r w:rsidRPr="00BC560D">
        <w:rPr>
          <w:rFonts w:ascii="Times New Roman" w:eastAsia="宋体" w:hAnsi="Times New Roman" w:cs="AdobeHeitiStd-Regular" w:hint="eastAsia"/>
          <w:color w:val="000000" w:themeColor="text1"/>
          <w:kern w:val="0"/>
          <w:sz w:val="15"/>
          <w:szCs w:val="15"/>
        </w:rPr>
        <w:t>木薯光合作用特性研究［</w:t>
      </w:r>
      <w:r w:rsidRPr="00BC560D">
        <w:rPr>
          <w:rFonts w:ascii="Times New Roman" w:eastAsia="宋体" w:hAnsi="Times New Roman" w:cs="E-BZ+ZHIB2q-1"/>
          <w:color w:val="000000" w:themeColor="text1"/>
          <w:kern w:val="0"/>
          <w:sz w:val="15"/>
          <w:szCs w:val="15"/>
        </w:rPr>
        <w:t>J</w:t>
      </w:r>
      <w:r w:rsidRPr="00BC560D">
        <w:rPr>
          <w:rFonts w:ascii="Times New Roman" w:eastAsia="宋体" w:hAnsi="Times New Roman" w:cs="AdobeHeitiStd-Regular" w:hint="eastAsia"/>
          <w:color w:val="000000" w:themeColor="text1"/>
          <w:kern w:val="0"/>
          <w:sz w:val="15"/>
          <w:szCs w:val="15"/>
        </w:rPr>
        <w:t>］</w:t>
      </w:r>
      <w:r w:rsidRPr="00BC560D">
        <w:rPr>
          <w:rFonts w:ascii="Times New Roman" w:eastAsia="宋体" w:hAnsi="Times New Roman" w:cs="E-BZ+ZHIB2q-1" w:hint="eastAsia"/>
          <w:color w:val="000000" w:themeColor="text1"/>
          <w:kern w:val="0"/>
          <w:sz w:val="15"/>
          <w:szCs w:val="15"/>
        </w:rPr>
        <w:t>.</w:t>
      </w:r>
      <w:r w:rsidRPr="00BC560D">
        <w:rPr>
          <w:rFonts w:ascii="Times New Roman" w:eastAsia="宋体" w:hAnsi="Times New Roman" w:cs="AdobeHeitiStd-Regular" w:hint="eastAsia"/>
          <w:color w:val="000000" w:themeColor="text1"/>
          <w:kern w:val="0"/>
          <w:sz w:val="15"/>
          <w:szCs w:val="15"/>
        </w:rPr>
        <w:t>云南大学学报自然科学版，</w:t>
      </w:r>
      <w:r w:rsidRPr="00BC560D">
        <w:rPr>
          <w:rFonts w:ascii="Times New Roman" w:eastAsia="宋体" w:hAnsi="Times New Roman" w:cs="E-BZ+ZHIB2q-1"/>
          <w:color w:val="000000" w:themeColor="text1"/>
          <w:kern w:val="0"/>
          <w:sz w:val="15"/>
          <w:szCs w:val="15"/>
        </w:rPr>
        <w:t>2007</w:t>
      </w:r>
      <w:r w:rsidRPr="00BC560D">
        <w:rPr>
          <w:rFonts w:ascii="Times New Roman" w:eastAsia="宋体" w:hAnsi="Times New Roman" w:cs="AdobeHeitiStd-Regular" w:hint="eastAsia"/>
          <w:color w:val="000000" w:themeColor="text1"/>
          <w:kern w:val="0"/>
          <w:sz w:val="15"/>
          <w:szCs w:val="15"/>
        </w:rPr>
        <w:t>，</w:t>
      </w:r>
      <w:r w:rsidRPr="00BC560D">
        <w:rPr>
          <w:rFonts w:ascii="Times New Roman" w:eastAsia="宋体" w:hAnsi="Times New Roman" w:cs="E-BZ+ZHIB2q-1"/>
          <w:color w:val="000000" w:themeColor="text1"/>
          <w:kern w:val="0"/>
          <w:sz w:val="15"/>
          <w:szCs w:val="15"/>
        </w:rPr>
        <w:t>29</w:t>
      </w:r>
      <w:r w:rsidRPr="00BC560D">
        <w:rPr>
          <w:rFonts w:ascii="Times New Roman" w:eastAsia="宋体" w:hAnsi="Times New Roman" w:cs="AdobeHeitiStd-Regular"/>
          <w:color w:val="000000" w:themeColor="text1"/>
          <w:kern w:val="0"/>
          <w:sz w:val="15"/>
          <w:szCs w:val="15"/>
        </w:rPr>
        <w:t xml:space="preserve">( </w:t>
      </w:r>
      <w:r w:rsidRPr="00BC560D">
        <w:rPr>
          <w:rFonts w:ascii="Times New Roman" w:eastAsia="宋体" w:hAnsi="Times New Roman" w:cs="E-BZ+ZHIB2q-1"/>
          <w:color w:val="000000" w:themeColor="text1"/>
          <w:kern w:val="0"/>
          <w:sz w:val="15"/>
          <w:szCs w:val="15"/>
        </w:rPr>
        <w:t>6</w:t>
      </w:r>
      <w:r w:rsidRPr="00BC560D">
        <w:rPr>
          <w:rFonts w:ascii="Times New Roman" w:eastAsia="宋体" w:hAnsi="Times New Roman" w:cs="AdobeHeitiStd-Regular"/>
          <w:color w:val="000000" w:themeColor="text1"/>
          <w:kern w:val="0"/>
          <w:sz w:val="15"/>
          <w:szCs w:val="15"/>
        </w:rPr>
        <w:t xml:space="preserve">) : </w:t>
      </w:r>
      <w:r w:rsidRPr="00BC560D">
        <w:rPr>
          <w:rFonts w:ascii="Times New Roman" w:eastAsia="宋体" w:hAnsi="Times New Roman" w:cs="E-BZ+ZHIB2q-1"/>
          <w:color w:val="000000" w:themeColor="text1"/>
          <w:kern w:val="0"/>
          <w:sz w:val="15"/>
          <w:szCs w:val="15"/>
        </w:rPr>
        <w:t xml:space="preserve">628 </w:t>
      </w:r>
      <w:r w:rsidRPr="00BC560D">
        <w:rPr>
          <w:rFonts w:ascii="Times New Roman" w:eastAsia="宋体" w:hAnsi="Times New Roman" w:cs="E-BZ+ZHIB2q-1" w:hint="eastAsia"/>
          <w:color w:val="000000" w:themeColor="text1"/>
          <w:kern w:val="0"/>
          <w:sz w:val="15"/>
          <w:szCs w:val="15"/>
        </w:rPr>
        <w:t>－</w:t>
      </w:r>
      <w:r w:rsidRPr="00BC560D">
        <w:rPr>
          <w:rFonts w:ascii="Times New Roman" w:eastAsia="宋体" w:hAnsi="Times New Roman" w:cs="E-BZ+ZHIB2q-1"/>
          <w:color w:val="000000" w:themeColor="text1"/>
          <w:kern w:val="0"/>
          <w:sz w:val="15"/>
          <w:szCs w:val="15"/>
        </w:rPr>
        <w:t xml:space="preserve"> 632</w:t>
      </w:r>
      <w:r w:rsidRPr="00BC560D">
        <w:rPr>
          <w:rFonts w:ascii="Times New Roman" w:eastAsia="宋体" w:hAnsi="Times New Roman" w:cs="E-BZ+ZHIB2q-1" w:hint="eastAsia"/>
          <w:color w:val="000000" w:themeColor="text1"/>
          <w:kern w:val="0"/>
          <w:sz w:val="15"/>
          <w:szCs w:val="15"/>
        </w:rPr>
        <w:t>．</w:t>
      </w:r>
    </w:p>
    <w:p w:rsidR="005A6A51" w:rsidRPr="0008781B" w:rsidRDefault="005A6A51" w:rsidP="00CF57DE">
      <w:pPr>
        <w:autoSpaceDE w:val="0"/>
        <w:autoSpaceDN w:val="0"/>
        <w:adjustRightInd w:val="0"/>
        <w:spacing w:line="360" w:lineRule="auto"/>
        <w:rPr>
          <w:rFonts w:ascii="Times New Roman" w:eastAsia="宋体" w:hAnsi="Times New Roman" w:cs="AdobeHeitiStd-Regular"/>
          <w:color w:val="000000" w:themeColor="text1"/>
          <w:kern w:val="0"/>
          <w:szCs w:val="21"/>
        </w:rPr>
      </w:pPr>
      <w:r w:rsidRPr="00BC560D">
        <w:rPr>
          <w:rFonts w:ascii="Times New Roman" w:eastAsia="宋体" w:hAnsi="Times New Roman" w:cs="AdobeHeitiStd-Regular" w:hint="eastAsia"/>
          <w:color w:val="000000" w:themeColor="text1"/>
          <w:kern w:val="0"/>
          <w:sz w:val="15"/>
          <w:szCs w:val="15"/>
        </w:rPr>
        <w:t xml:space="preserve">[2] </w:t>
      </w:r>
      <w:r w:rsidRPr="00BC560D">
        <w:rPr>
          <w:rFonts w:ascii="Times New Roman" w:eastAsia="宋体" w:hAnsi="Times New Roman" w:cs="AdobeHeitiStd-Regular" w:hint="eastAsia"/>
          <w:color w:val="000000" w:themeColor="text1"/>
          <w:kern w:val="0"/>
          <w:sz w:val="15"/>
          <w:szCs w:val="15"/>
        </w:rPr>
        <w:t>陈冠喜，李开绵，叶剑秋，等</w:t>
      </w:r>
      <w:r w:rsidRPr="00BC560D">
        <w:rPr>
          <w:rFonts w:ascii="Times New Roman" w:eastAsia="宋体" w:hAnsi="Times New Roman" w:cs="E-BZ+ZHIB2q-1" w:hint="eastAsia"/>
          <w:color w:val="000000" w:themeColor="text1"/>
          <w:kern w:val="0"/>
          <w:sz w:val="15"/>
          <w:szCs w:val="15"/>
        </w:rPr>
        <w:t>.</w:t>
      </w:r>
      <w:r w:rsidR="009B2B42" w:rsidRPr="00BC560D">
        <w:rPr>
          <w:rFonts w:ascii="Times New Roman" w:eastAsia="宋体" w:hAnsi="Times New Roman" w:cs="E-BZ+ZHIB2q-1"/>
          <w:color w:val="000000" w:themeColor="text1"/>
          <w:kern w:val="0"/>
          <w:sz w:val="15"/>
          <w:szCs w:val="15"/>
        </w:rPr>
        <w:t>6</w:t>
      </w:r>
      <w:r w:rsidRPr="00BC560D">
        <w:rPr>
          <w:rFonts w:ascii="Times New Roman" w:eastAsia="宋体" w:hAnsi="Times New Roman" w:cs="AdobeHeitiStd-Regular" w:hint="eastAsia"/>
          <w:color w:val="000000" w:themeColor="text1"/>
          <w:kern w:val="0"/>
          <w:sz w:val="15"/>
          <w:szCs w:val="15"/>
        </w:rPr>
        <w:t>个木薯品种生长发育及产量性状的初步研究［</w:t>
      </w:r>
      <w:r w:rsidRPr="00BC560D">
        <w:rPr>
          <w:rFonts w:ascii="Times New Roman" w:eastAsia="宋体" w:hAnsi="Times New Roman" w:cs="E-BZ+ZHIB2q-1"/>
          <w:color w:val="000000" w:themeColor="text1"/>
          <w:kern w:val="0"/>
          <w:sz w:val="15"/>
          <w:szCs w:val="15"/>
        </w:rPr>
        <w:t>J</w:t>
      </w:r>
      <w:r w:rsidRPr="00BC560D">
        <w:rPr>
          <w:rFonts w:ascii="Times New Roman" w:eastAsia="宋体" w:hAnsi="Times New Roman" w:cs="AdobeHeitiStd-Regular" w:hint="eastAsia"/>
          <w:color w:val="000000" w:themeColor="text1"/>
          <w:kern w:val="0"/>
          <w:sz w:val="15"/>
          <w:szCs w:val="15"/>
        </w:rPr>
        <w:t>］</w:t>
      </w:r>
      <w:r w:rsidRPr="00BC560D">
        <w:rPr>
          <w:rFonts w:ascii="Times New Roman" w:eastAsia="宋体" w:hAnsi="Times New Roman" w:cs="E-BZ+ZHIB2q-1" w:hint="eastAsia"/>
          <w:color w:val="000000" w:themeColor="text1"/>
          <w:kern w:val="0"/>
          <w:sz w:val="15"/>
          <w:szCs w:val="15"/>
        </w:rPr>
        <w:t>.</w:t>
      </w:r>
      <w:r w:rsidRPr="00BC560D">
        <w:rPr>
          <w:rFonts w:ascii="Times New Roman" w:eastAsia="宋体" w:hAnsi="Times New Roman" w:cs="AdobeHeitiStd-Regular" w:hint="eastAsia"/>
          <w:color w:val="000000" w:themeColor="text1"/>
          <w:kern w:val="0"/>
          <w:sz w:val="15"/>
          <w:szCs w:val="15"/>
        </w:rPr>
        <w:t>热带农业科学，</w:t>
      </w:r>
      <w:r w:rsidRPr="00BC560D">
        <w:rPr>
          <w:rFonts w:ascii="Times New Roman" w:eastAsia="宋体" w:hAnsi="Times New Roman" w:cs="E-BZ+ZHIB2q-1"/>
          <w:color w:val="000000" w:themeColor="text1"/>
          <w:kern w:val="0"/>
          <w:sz w:val="15"/>
          <w:szCs w:val="15"/>
        </w:rPr>
        <w:t>2009</w:t>
      </w:r>
      <w:r w:rsidRPr="00BC560D">
        <w:rPr>
          <w:rFonts w:ascii="Times New Roman" w:eastAsia="宋体" w:hAnsi="Times New Roman" w:cs="AdobeHeitiStd-Regular" w:hint="eastAsia"/>
          <w:color w:val="000000" w:themeColor="text1"/>
          <w:kern w:val="0"/>
          <w:sz w:val="15"/>
          <w:szCs w:val="15"/>
        </w:rPr>
        <w:t>，</w:t>
      </w:r>
      <w:r w:rsidRPr="00BC560D">
        <w:rPr>
          <w:rFonts w:ascii="Times New Roman" w:eastAsia="宋体" w:hAnsi="Times New Roman" w:cs="E-BZ+ZHIB2q-1"/>
          <w:color w:val="000000" w:themeColor="text1"/>
          <w:kern w:val="0"/>
          <w:sz w:val="15"/>
          <w:szCs w:val="15"/>
        </w:rPr>
        <w:t>29</w:t>
      </w:r>
      <w:r w:rsidRPr="00BC560D">
        <w:rPr>
          <w:rFonts w:ascii="Times New Roman" w:eastAsia="宋体" w:hAnsi="Times New Roman" w:cs="AdobeHeitiStd-Regular"/>
          <w:color w:val="000000" w:themeColor="text1"/>
          <w:kern w:val="0"/>
          <w:sz w:val="15"/>
          <w:szCs w:val="15"/>
        </w:rPr>
        <w:t xml:space="preserve">( </w:t>
      </w:r>
      <w:r w:rsidRPr="00BC560D">
        <w:rPr>
          <w:rFonts w:ascii="Times New Roman" w:eastAsia="宋体" w:hAnsi="Times New Roman" w:cs="E-BZ+ZHIB2q-1"/>
          <w:color w:val="000000" w:themeColor="text1"/>
          <w:kern w:val="0"/>
          <w:sz w:val="15"/>
          <w:szCs w:val="15"/>
        </w:rPr>
        <w:t>6</w:t>
      </w:r>
      <w:r w:rsidRPr="00BC560D">
        <w:rPr>
          <w:rFonts w:ascii="Times New Roman" w:eastAsia="宋体" w:hAnsi="Times New Roman" w:cs="AdobeHeitiStd-Regular"/>
          <w:color w:val="000000" w:themeColor="text1"/>
          <w:kern w:val="0"/>
          <w:sz w:val="15"/>
          <w:szCs w:val="15"/>
        </w:rPr>
        <w:t xml:space="preserve">) : </w:t>
      </w:r>
      <w:r w:rsidRPr="00BC560D">
        <w:rPr>
          <w:rFonts w:ascii="Times New Roman" w:eastAsia="宋体" w:hAnsi="Times New Roman" w:cs="E-BZ+ZHIB2q-1"/>
          <w:color w:val="000000" w:themeColor="text1"/>
          <w:kern w:val="0"/>
          <w:sz w:val="15"/>
          <w:szCs w:val="15"/>
        </w:rPr>
        <w:t xml:space="preserve">26 </w:t>
      </w:r>
      <w:r w:rsidRPr="00BC560D">
        <w:rPr>
          <w:rFonts w:ascii="Times New Roman" w:eastAsia="宋体" w:hAnsi="Times New Roman" w:cs="E-BZ+ZHIB2q-1" w:hint="eastAsia"/>
          <w:color w:val="000000" w:themeColor="text1"/>
          <w:kern w:val="0"/>
          <w:sz w:val="15"/>
          <w:szCs w:val="15"/>
        </w:rPr>
        <w:t>－</w:t>
      </w:r>
      <w:r w:rsidRPr="00BC560D">
        <w:rPr>
          <w:rFonts w:ascii="Times New Roman" w:eastAsia="宋体" w:hAnsi="Times New Roman" w:cs="E-BZ+ZHIB2q-1"/>
          <w:color w:val="000000" w:themeColor="text1"/>
          <w:kern w:val="0"/>
          <w:sz w:val="15"/>
          <w:szCs w:val="15"/>
        </w:rPr>
        <w:t xml:space="preserve"> 29</w:t>
      </w:r>
      <w:r w:rsidRPr="00BC560D">
        <w:rPr>
          <w:rFonts w:ascii="Times New Roman" w:eastAsia="宋体" w:hAnsi="Times New Roman" w:cs="E-BZ+ZHIB2q-1" w:hint="eastAsia"/>
          <w:color w:val="000000" w:themeColor="text1"/>
          <w:kern w:val="0"/>
          <w:sz w:val="15"/>
          <w:szCs w:val="15"/>
        </w:rPr>
        <w:t>．</w:t>
      </w:r>
    </w:p>
    <w:p w:rsidR="005A6A51" w:rsidRPr="00BC560D" w:rsidRDefault="005A6A51"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宋体" w:hAnsi="Times New Roman" w:cs="Times New Roman"/>
          <w:color w:val="000000" w:themeColor="text1"/>
          <w:kern w:val="0"/>
          <w:sz w:val="15"/>
          <w:szCs w:val="15"/>
        </w:rPr>
        <w:t>[3] Li K</w:t>
      </w:r>
      <w:r w:rsidRPr="00BC560D">
        <w:rPr>
          <w:rFonts w:ascii="Times New Roman" w:eastAsia="宋体" w:hAnsi="Times New Roman" w:cs="Times New Roman"/>
          <w:color w:val="000000" w:themeColor="text1"/>
          <w:kern w:val="0"/>
          <w:sz w:val="15"/>
          <w:szCs w:val="15"/>
        </w:rPr>
        <w:t>，</w:t>
      </w:r>
      <w:r w:rsidRPr="00BC560D">
        <w:rPr>
          <w:rFonts w:ascii="Times New Roman" w:eastAsia="宋体" w:hAnsi="Times New Roman" w:cs="Times New Roman"/>
          <w:color w:val="000000" w:themeColor="text1"/>
          <w:kern w:val="0"/>
          <w:sz w:val="15"/>
          <w:szCs w:val="15"/>
        </w:rPr>
        <w:t>Zhu W</w:t>
      </w:r>
      <w:r w:rsidRPr="00BC560D">
        <w:rPr>
          <w:rFonts w:ascii="Times New Roman" w:eastAsia="宋体" w:hAnsi="Times New Roman" w:cs="Times New Roman"/>
          <w:color w:val="000000" w:themeColor="text1"/>
          <w:kern w:val="0"/>
          <w:sz w:val="15"/>
          <w:szCs w:val="15"/>
        </w:rPr>
        <w:t>，</w:t>
      </w:r>
      <w:r w:rsidRPr="00BC560D">
        <w:rPr>
          <w:rFonts w:ascii="Times New Roman" w:eastAsia="宋体" w:hAnsi="Times New Roman" w:cs="Times New Roman"/>
          <w:color w:val="000000" w:themeColor="text1"/>
          <w:kern w:val="0"/>
          <w:sz w:val="15"/>
          <w:szCs w:val="15"/>
        </w:rPr>
        <w:t>Zeng K</w:t>
      </w:r>
      <w:r w:rsidRPr="00BC560D">
        <w:rPr>
          <w:rFonts w:ascii="Times New Roman" w:eastAsia="宋体" w:hAnsi="Times New Roman" w:cs="Times New Roman"/>
          <w:color w:val="000000" w:themeColor="text1"/>
          <w:kern w:val="0"/>
          <w:sz w:val="15"/>
          <w:szCs w:val="15"/>
        </w:rPr>
        <w:t>，</w:t>
      </w:r>
      <w:r w:rsidRPr="00BC560D">
        <w:rPr>
          <w:rFonts w:ascii="Times New Roman" w:eastAsia="宋体" w:hAnsi="Times New Roman" w:cs="Times New Roman"/>
          <w:color w:val="000000" w:themeColor="text1"/>
          <w:kern w:val="0"/>
          <w:sz w:val="15"/>
          <w:szCs w:val="15"/>
        </w:rPr>
        <w:t>Zhang Z</w:t>
      </w:r>
      <w:r w:rsidRPr="00BC560D">
        <w:rPr>
          <w:rFonts w:ascii="Times New Roman" w:eastAsia="宋体" w:hAnsi="Times New Roman" w:cs="Times New Roman"/>
          <w:color w:val="000000" w:themeColor="text1"/>
          <w:kern w:val="0"/>
          <w:sz w:val="15"/>
          <w:szCs w:val="15"/>
        </w:rPr>
        <w:t>，</w:t>
      </w:r>
      <w:r w:rsidRPr="00BC560D">
        <w:rPr>
          <w:rFonts w:ascii="Times New Roman" w:eastAsia="宋体" w:hAnsi="Times New Roman" w:cs="Times New Roman"/>
          <w:color w:val="000000" w:themeColor="text1"/>
          <w:kern w:val="0"/>
          <w:sz w:val="15"/>
          <w:szCs w:val="15"/>
        </w:rPr>
        <w:t>et al</w:t>
      </w:r>
      <w:r w:rsidRPr="00BC560D">
        <w:rPr>
          <w:rFonts w:ascii="Times New Roman" w:eastAsia="宋体" w:hAnsi="Times New Roman" w:cs="Times New Roman"/>
          <w:color w:val="000000" w:themeColor="text1"/>
          <w:kern w:val="0"/>
          <w:sz w:val="15"/>
          <w:szCs w:val="15"/>
        </w:rPr>
        <w:t>．</w:t>
      </w:r>
      <w:r w:rsidRPr="00BC560D">
        <w:rPr>
          <w:rFonts w:ascii="Times New Roman" w:eastAsia="宋体" w:hAnsi="Times New Roman" w:cs="Times New Roman"/>
          <w:color w:val="000000" w:themeColor="text1"/>
          <w:kern w:val="0"/>
          <w:sz w:val="15"/>
          <w:szCs w:val="15"/>
        </w:rPr>
        <w:t xml:space="preserve">Proteome Characterization of cassava ( </w:t>
      </w:r>
      <w:proofErr w:type="spellStart"/>
      <w:r w:rsidRPr="00BC560D">
        <w:rPr>
          <w:rFonts w:ascii="Times New Roman" w:eastAsia="宋体" w:hAnsi="Times New Roman" w:cs="Times New Roman"/>
          <w:color w:val="000000" w:themeColor="text1"/>
          <w:kern w:val="0"/>
          <w:sz w:val="15"/>
          <w:szCs w:val="15"/>
        </w:rPr>
        <w:t>Manihot</w:t>
      </w:r>
      <w:proofErr w:type="spellEnd"/>
      <w:r w:rsidRPr="00BC560D">
        <w:rPr>
          <w:rFonts w:ascii="Times New Roman" w:eastAsia="宋体" w:hAnsi="Times New Roman" w:cs="Times New Roman"/>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esculenta</w:t>
      </w:r>
      <w:proofErr w:type="spellEnd"/>
      <w:r w:rsidRPr="00BC560D">
        <w:rPr>
          <w:rFonts w:ascii="Times New Roman" w:eastAsia="宋体" w:hAnsi="Times New Roman" w:cs="Times New Roman"/>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Crantz</w:t>
      </w:r>
      <w:proofErr w:type="spellEnd"/>
      <w:r w:rsidRPr="00BC560D">
        <w:rPr>
          <w:rFonts w:ascii="Times New Roman" w:eastAsia="宋体" w:hAnsi="Times New Roman" w:cs="Times New Roman"/>
          <w:color w:val="000000" w:themeColor="text1"/>
          <w:kern w:val="0"/>
          <w:sz w:val="15"/>
          <w:szCs w:val="15"/>
        </w:rPr>
        <w:t>) somatic embryos</w:t>
      </w:r>
      <w:r w:rsidRPr="00BC560D">
        <w:rPr>
          <w:rFonts w:ascii="Times New Roman" w:eastAsia="宋体" w:hAnsi="Times New Roman" w:cs="Times New Roman" w:hint="eastAsia"/>
          <w:color w:val="000000" w:themeColor="text1"/>
          <w:kern w:val="0"/>
          <w:sz w:val="15"/>
          <w:szCs w:val="15"/>
        </w:rPr>
        <w:t>，</w:t>
      </w:r>
      <w:r w:rsidRPr="00BC560D">
        <w:rPr>
          <w:rFonts w:ascii="Times New Roman" w:eastAsia="宋体" w:hAnsi="Times New Roman" w:cs="Times New Roman"/>
          <w:color w:val="000000" w:themeColor="text1"/>
          <w:kern w:val="0"/>
          <w:sz w:val="15"/>
          <w:szCs w:val="15"/>
        </w:rPr>
        <w:t xml:space="preserve">plantlets </w:t>
      </w:r>
      <w:r w:rsidRPr="00BC560D">
        <w:rPr>
          <w:rFonts w:ascii="Times New Roman" w:eastAsia="宋体" w:hAnsi="Times New Roman" w:cs="Times New Roman"/>
          <w:color w:val="000000" w:themeColor="text1"/>
          <w:kern w:val="0"/>
          <w:sz w:val="15"/>
          <w:szCs w:val="15"/>
        </w:rPr>
        <w:lastRenderedPageBreak/>
        <w:t>and tuberous roots</w:t>
      </w:r>
      <w:r w:rsidRPr="00BC560D">
        <w:rPr>
          <w:rFonts w:ascii="Times New Roman" w:eastAsia="宋体" w:hAnsi="Times New Roman" w:cs="Times New Roman" w:hint="eastAsia"/>
          <w:color w:val="000000" w:themeColor="text1"/>
          <w:kern w:val="0"/>
          <w:sz w:val="15"/>
          <w:szCs w:val="15"/>
        </w:rPr>
        <w:t>[</w:t>
      </w:r>
      <w:r w:rsidRPr="00BC560D">
        <w:rPr>
          <w:rFonts w:ascii="Times New Roman" w:eastAsia="宋体" w:hAnsi="Times New Roman" w:cs="Times New Roman"/>
          <w:color w:val="000000" w:themeColor="text1"/>
          <w:kern w:val="0"/>
          <w:sz w:val="15"/>
          <w:szCs w:val="15"/>
        </w:rPr>
        <w:t>J</w:t>
      </w:r>
      <w:r w:rsidRPr="00BC560D">
        <w:rPr>
          <w:rFonts w:ascii="Times New Roman" w:eastAsia="宋体" w:hAnsi="Times New Roman" w:cs="Times New Roman" w:hint="eastAsia"/>
          <w:color w:val="000000" w:themeColor="text1"/>
          <w:kern w:val="0"/>
          <w:sz w:val="15"/>
          <w:szCs w:val="15"/>
        </w:rPr>
        <w:t>].</w:t>
      </w:r>
      <w:r w:rsidRPr="00BC560D">
        <w:rPr>
          <w:rFonts w:ascii="Times New Roman" w:eastAsia="宋体" w:hAnsi="Times New Roman" w:cs="Times New Roman"/>
          <w:color w:val="000000" w:themeColor="text1"/>
          <w:kern w:val="0"/>
          <w:sz w:val="15"/>
          <w:szCs w:val="15"/>
        </w:rPr>
        <w:t xml:space="preserve"> Proteome Science</w:t>
      </w:r>
      <w:r w:rsidRPr="00BC560D">
        <w:rPr>
          <w:rFonts w:ascii="Times New Roman" w:eastAsia="宋体" w:hAnsi="Times New Roman" w:cs="Times New Roman" w:hint="eastAsia"/>
          <w:color w:val="000000" w:themeColor="text1"/>
          <w:kern w:val="0"/>
          <w:sz w:val="15"/>
          <w:szCs w:val="15"/>
        </w:rPr>
        <w:t>，</w:t>
      </w:r>
      <w:r w:rsidRPr="00BC560D">
        <w:rPr>
          <w:rFonts w:ascii="Times New Roman" w:eastAsia="宋体" w:hAnsi="Times New Roman" w:cs="Times New Roman"/>
          <w:color w:val="000000" w:themeColor="text1"/>
          <w:kern w:val="0"/>
          <w:sz w:val="15"/>
          <w:szCs w:val="15"/>
        </w:rPr>
        <w:t>2010</w:t>
      </w:r>
      <w:r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宋体" w:hAnsi="Times New Roman" w:cs="Times New Roman"/>
          <w:color w:val="000000" w:themeColor="text1"/>
          <w:kern w:val="0"/>
          <w:sz w:val="15"/>
          <w:szCs w:val="15"/>
        </w:rPr>
        <w:t>(8) : 10</w:t>
      </w:r>
      <w:r w:rsidRPr="00BC560D">
        <w:rPr>
          <w:rFonts w:ascii="Times New Roman" w:eastAsia="宋体" w:hAnsi="Times New Roman" w:cs="Times New Roman" w:hint="eastAsia"/>
          <w:color w:val="000000" w:themeColor="text1"/>
          <w:kern w:val="0"/>
          <w:sz w:val="15"/>
          <w:szCs w:val="15"/>
        </w:rPr>
        <w:t>．</w:t>
      </w:r>
    </w:p>
    <w:p w:rsidR="005A6A51" w:rsidRPr="00BC560D" w:rsidRDefault="005A6A51"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宋体" w:hAnsi="Times New Roman" w:cs="Times New Roman" w:hint="eastAsia"/>
          <w:color w:val="000000" w:themeColor="text1"/>
          <w:kern w:val="0"/>
          <w:sz w:val="15"/>
          <w:szCs w:val="15"/>
        </w:rPr>
        <w:t>[4]</w:t>
      </w:r>
      <w:r w:rsidRPr="00BC560D">
        <w:rPr>
          <w:rFonts w:ascii="Times New Roman" w:eastAsia="宋体" w:hAnsi="Times New Roman" w:cs="Times New Roman"/>
          <w:color w:val="000000" w:themeColor="text1"/>
          <w:kern w:val="0"/>
          <w:sz w:val="15"/>
          <w:szCs w:val="15"/>
        </w:rPr>
        <w:t xml:space="preserve"> Estevez, J.M</w:t>
      </w:r>
      <w:r w:rsidR="00076D1F" w:rsidRPr="00BC560D">
        <w:rPr>
          <w:rFonts w:ascii="Times New Roman" w:eastAsia="宋体" w:hAnsi="Times New Roman" w:cs="Times New Roman" w:hint="eastAsia"/>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Cantero</w:t>
      </w:r>
      <w:proofErr w:type="spellEnd"/>
      <w:r w:rsidR="00076D1F"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宋体" w:hAnsi="Times New Roman" w:cs="Times New Roman"/>
          <w:color w:val="000000" w:themeColor="text1"/>
          <w:kern w:val="0"/>
          <w:sz w:val="15"/>
          <w:szCs w:val="15"/>
        </w:rPr>
        <w:t>A</w:t>
      </w:r>
      <w:r w:rsidR="00076D1F" w:rsidRPr="00BC560D">
        <w:rPr>
          <w:rFonts w:ascii="Times New Roman" w:eastAsia="宋体" w:hAnsi="Times New Roman" w:cs="Times New Roman" w:hint="eastAsia"/>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Reindl</w:t>
      </w:r>
      <w:proofErr w:type="spellEnd"/>
      <w:r w:rsidRPr="00BC560D">
        <w:rPr>
          <w:rFonts w:ascii="Times New Roman" w:eastAsia="宋体" w:hAnsi="Times New Roman" w:cs="Times New Roman" w:hint="eastAsia"/>
          <w:color w:val="000000" w:themeColor="text1"/>
          <w:kern w:val="0"/>
          <w:sz w:val="15"/>
          <w:szCs w:val="15"/>
        </w:rPr>
        <w:t>，</w:t>
      </w:r>
      <w:r w:rsidRPr="00BC560D">
        <w:rPr>
          <w:rFonts w:ascii="Times New Roman" w:eastAsia="宋体" w:hAnsi="Times New Roman" w:cs="Times New Roman"/>
          <w:color w:val="000000" w:themeColor="text1"/>
          <w:kern w:val="0"/>
          <w:sz w:val="15"/>
          <w:szCs w:val="15"/>
        </w:rPr>
        <w:t>A</w:t>
      </w:r>
      <w:r w:rsidR="00076D1F" w:rsidRPr="00BC560D">
        <w:rPr>
          <w:rFonts w:ascii="Times New Roman" w:eastAsia="宋体" w:hAnsi="Times New Roman" w:cs="Times New Roman" w:hint="eastAsia"/>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Reichler</w:t>
      </w:r>
      <w:proofErr w:type="spellEnd"/>
      <w:r w:rsidR="00076D1F"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宋体" w:hAnsi="Times New Roman" w:cs="Times New Roman"/>
          <w:color w:val="000000" w:themeColor="text1"/>
          <w:kern w:val="0"/>
          <w:sz w:val="15"/>
          <w:szCs w:val="15"/>
        </w:rPr>
        <w:t>S</w:t>
      </w:r>
      <w:r w:rsidR="00076D1F"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宋体" w:hAnsi="Times New Roman" w:cs="Times New Roman"/>
          <w:color w:val="000000" w:themeColor="text1"/>
          <w:kern w:val="0"/>
          <w:sz w:val="15"/>
          <w:szCs w:val="15"/>
        </w:rPr>
        <w:t>and Leon</w:t>
      </w:r>
      <w:r w:rsidRPr="00BC560D">
        <w:rPr>
          <w:rFonts w:ascii="Times New Roman" w:eastAsia="宋体" w:hAnsi="Times New Roman" w:cs="Times New Roman" w:hint="eastAsia"/>
          <w:color w:val="000000" w:themeColor="text1"/>
          <w:kern w:val="0"/>
          <w:sz w:val="15"/>
          <w:szCs w:val="15"/>
        </w:rPr>
        <w:t>，</w:t>
      </w:r>
      <w:r w:rsidRPr="00BC560D">
        <w:rPr>
          <w:rFonts w:ascii="Times New Roman" w:eastAsia="宋体" w:hAnsi="Times New Roman" w:cs="Times New Roman"/>
          <w:color w:val="000000" w:themeColor="text1"/>
          <w:kern w:val="0"/>
          <w:sz w:val="15"/>
          <w:szCs w:val="15"/>
        </w:rPr>
        <w:t>P</w:t>
      </w:r>
      <w:r w:rsidRPr="00BC560D">
        <w:rPr>
          <w:rFonts w:ascii="Times New Roman" w:eastAsia="宋体" w:hAnsi="Times New Roman" w:cs="Times New Roman" w:hint="eastAsia"/>
          <w:color w:val="000000" w:themeColor="text1"/>
          <w:kern w:val="0"/>
          <w:sz w:val="15"/>
          <w:szCs w:val="15"/>
        </w:rPr>
        <w:t>.</w:t>
      </w:r>
      <w:r w:rsidRPr="00BC560D">
        <w:rPr>
          <w:rFonts w:ascii="Times New Roman" w:eastAsia="宋体" w:hAnsi="Times New Roman" w:cs="Times New Roman"/>
          <w:color w:val="000000" w:themeColor="text1"/>
          <w:kern w:val="0"/>
          <w:sz w:val="15"/>
          <w:szCs w:val="15"/>
        </w:rPr>
        <w:t xml:space="preserve"> (2001).1-Deoxy-D-xylulose-5-phosphate synthase, a limiting enzyme for </w:t>
      </w:r>
      <w:proofErr w:type="spellStart"/>
      <w:r w:rsidRPr="00BC560D">
        <w:rPr>
          <w:rFonts w:ascii="Times New Roman" w:eastAsia="宋体" w:hAnsi="Times New Roman" w:cs="Times New Roman"/>
          <w:color w:val="000000" w:themeColor="text1"/>
          <w:kern w:val="0"/>
          <w:sz w:val="15"/>
          <w:szCs w:val="15"/>
        </w:rPr>
        <w:t>plastidic</w:t>
      </w:r>
      <w:proofErr w:type="spellEnd"/>
      <w:r w:rsidRPr="00BC560D">
        <w:rPr>
          <w:rFonts w:ascii="Times New Roman" w:eastAsia="宋体" w:hAnsi="Times New Roman" w:cs="Times New Roman"/>
          <w:color w:val="000000" w:themeColor="text1"/>
          <w:kern w:val="0"/>
          <w:sz w:val="15"/>
          <w:szCs w:val="15"/>
        </w:rPr>
        <w:t xml:space="preserve"> isoprenoid biosynthesis in plants. Journal of Agricultural and Food Chemistry, 276,</w:t>
      </w:r>
      <w:r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宋体" w:hAnsi="Times New Roman" w:cs="Times New Roman"/>
          <w:color w:val="000000" w:themeColor="text1"/>
          <w:kern w:val="0"/>
          <w:sz w:val="15"/>
          <w:szCs w:val="15"/>
        </w:rPr>
        <w:t>22901-22909.</w:t>
      </w:r>
    </w:p>
    <w:p w:rsidR="009B2B42" w:rsidRPr="00BC560D" w:rsidRDefault="009B2B42"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宋体" w:hAnsi="Times New Roman" w:cs="Times New Roman"/>
          <w:color w:val="000000" w:themeColor="text1"/>
          <w:kern w:val="0"/>
          <w:sz w:val="15"/>
          <w:szCs w:val="15"/>
        </w:rPr>
        <w:t xml:space="preserve">[5] Rodriguez-Concepcion, M., </w:t>
      </w:r>
      <w:proofErr w:type="spellStart"/>
      <w:r w:rsidRPr="00BC560D">
        <w:rPr>
          <w:rFonts w:ascii="Times New Roman" w:eastAsia="宋体" w:hAnsi="Times New Roman" w:cs="Times New Roman"/>
          <w:color w:val="000000" w:themeColor="text1"/>
          <w:kern w:val="0"/>
          <w:sz w:val="15"/>
          <w:szCs w:val="15"/>
        </w:rPr>
        <w:t>Ahumada</w:t>
      </w:r>
      <w:proofErr w:type="spellEnd"/>
      <w:r w:rsidRPr="00BC560D">
        <w:rPr>
          <w:rFonts w:ascii="Times New Roman" w:eastAsia="宋体" w:hAnsi="Times New Roman" w:cs="Times New Roman"/>
          <w:color w:val="000000" w:themeColor="text1"/>
          <w:kern w:val="0"/>
          <w:sz w:val="15"/>
          <w:szCs w:val="15"/>
        </w:rPr>
        <w:t xml:space="preserve">, L, </w:t>
      </w:r>
      <w:proofErr w:type="spellStart"/>
      <w:r w:rsidRPr="00BC560D">
        <w:rPr>
          <w:rFonts w:ascii="Times New Roman" w:eastAsia="宋体" w:hAnsi="Times New Roman" w:cs="Times New Roman"/>
          <w:color w:val="000000" w:themeColor="text1"/>
          <w:kern w:val="0"/>
          <w:sz w:val="15"/>
          <w:szCs w:val="15"/>
        </w:rPr>
        <w:t>Diez-Juez</w:t>
      </w:r>
      <w:proofErr w:type="spellEnd"/>
      <w:r w:rsidRPr="00BC560D">
        <w:rPr>
          <w:rFonts w:ascii="Times New Roman" w:eastAsia="宋体" w:hAnsi="Times New Roman" w:cs="Times New Roman"/>
          <w:color w:val="000000" w:themeColor="text1"/>
          <w:kern w:val="0"/>
          <w:sz w:val="15"/>
          <w:szCs w:val="15"/>
        </w:rPr>
        <w:t xml:space="preserve">, E., </w:t>
      </w:r>
      <w:proofErr w:type="spellStart"/>
      <w:r w:rsidRPr="00BC560D">
        <w:rPr>
          <w:rFonts w:ascii="Times New Roman" w:eastAsia="宋体" w:hAnsi="Times New Roman" w:cs="Times New Roman"/>
          <w:color w:val="000000" w:themeColor="text1"/>
          <w:kern w:val="0"/>
          <w:sz w:val="15"/>
          <w:szCs w:val="15"/>
        </w:rPr>
        <w:t>Sauret-Giieto</w:t>
      </w:r>
      <w:proofErr w:type="spellEnd"/>
      <w:r w:rsidRPr="00BC560D">
        <w:rPr>
          <w:rFonts w:ascii="Times New Roman" w:eastAsia="宋体" w:hAnsi="Times New Roman" w:cs="Times New Roman"/>
          <w:color w:val="000000" w:themeColor="text1"/>
          <w:kern w:val="0"/>
          <w:sz w:val="15"/>
          <w:szCs w:val="15"/>
        </w:rPr>
        <w:t>, S., Lois,</w:t>
      </w:r>
      <w:r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宋体" w:hAnsi="Times New Roman" w:cs="Times New Roman"/>
          <w:color w:val="000000" w:themeColor="text1"/>
          <w:kern w:val="0"/>
          <w:sz w:val="15"/>
          <w:szCs w:val="15"/>
        </w:rPr>
        <w:t xml:space="preserve">L.M., </w:t>
      </w:r>
      <w:proofErr w:type="spellStart"/>
      <w:r w:rsidRPr="00BC560D">
        <w:rPr>
          <w:rFonts w:ascii="Times New Roman" w:eastAsia="宋体" w:hAnsi="Times New Roman" w:cs="Times New Roman"/>
          <w:color w:val="000000" w:themeColor="text1"/>
          <w:kern w:val="0"/>
          <w:sz w:val="15"/>
          <w:szCs w:val="15"/>
        </w:rPr>
        <w:t>Gallego</w:t>
      </w:r>
      <w:proofErr w:type="spellEnd"/>
      <w:r w:rsidRPr="00BC560D">
        <w:rPr>
          <w:rFonts w:ascii="Times New Roman" w:eastAsia="宋体" w:hAnsi="Times New Roman" w:cs="Times New Roman"/>
          <w:color w:val="000000" w:themeColor="text1"/>
          <w:kern w:val="0"/>
          <w:sz w:val="15"/>
          <w:szCs w:val="15"/>
        </w:rPr>
        <w:t xml:space="preserve">, F., </w:t>
      </w:r>
      <w:proofErr w:type="spellStart"/>
      <w:r w:rsidRPr="00BC560D">
        <w:rPr>
          <w:rFonts w:ascii="Times New Roman" w:eastAsia="宋体" w:hAnsi="Times New Roman" w:cs="Times New Roman"/>
          <w:color w:val="000000" w:themeColor="text1"/>
          <w:kern w:val="0"/>
          <w:sz w:val="15"/>
          <w:szCs w:val="15"/>
        </w:rPr>
        <w:t>Carretero</w:t>
      </w:r>
      <w:proofErr w:type="spellEnd"/>
      <w:r w:rsidRPr="00BC560D">
        <w:rPr>
          <w:rFonts w:ascii="Times New Roman" w:eastAsia="宋体" w:hAnsi="Times New Roman" w:cs="Times New Roman"/>
          <w:color w:val="000000" w:themeColor="text1"/>
          <w:kern w:val="0"/>
          <w:sz w:val="15"/>
          <w:szCs w:val="15"/>
        </w:rPr>
        <w:t xml:space="preserve">-Paulet, L., Campos, N., and </w:t>
      </w:r>
      <w:proofErr w:type="spellStart"/>
      <w:r w:rsidRPr="00BC560D">
        <w:rPr>
          <w:rFonts w:ascii="Times New Roman" w:eastAsia="宋体" w:hAnsi="Times New Roman" w:cs="Times New Roman"/>
          <w:color w:val="000000" w:themeColor="text1"/>
          <w:kern w:val="0"/>
          <w:sz w:val="15"/>
          <w:szCs w:val="15"/>
        </w:rPr>
        <w:t>Boronat</w:t>
      </w:r>
      <w:proofErr w:type="spellEnd"/>
      <w:r w:rsidRPr="00BC560D">
        <w:rPr>
          <w:rFonts w:ascii="Times New Roman" w:eastAsia="宋体" w:hAnsi="Times New Roman" w:cs="Times New Roman"/>
          <w:color w:val="000000" w:themeColor="text1"/>
          <w:kern w:val="0"/>
          <w:sz w:val="15"/>
          <w:szCs w:val="15"/>
        </w:rPr>
        <w:t xml:space="preserve">, A. (2001).1-Deoxy-d-xylulose 5-phosphate </w:t>
      </w:r>
      <w:proofErr w:type="spellStart"/>
      <w:r w:rsidRPr="00BC560D">
        <w:rPr>
          <w:rFonts w:ascii="Times New Roman" w:eastAsia="宋体" w:hAnsi="Times New Roman" w:cs="Times New Roman"/>
          <w:color w:val="000000" w:themeColor="text1"/>
          <w:kern w:val="0"/>
          <w:sz w:val="15"/>
          <w:szCs w:val="15"/>
        </w:rPr>
        <w:t>reductoisomerase</w:t>
      </w:r>
      <w:proofErr w:type="spellEnd"/>
      <w:r w:rsidRPr="00BC560D">
        <w:rPr>
          <w:rFonts w:ascii="Times New Roman" w:eastAsia="宋体" w:hAnsi="Times New Roman" w:cs="Times New Roman"/>
          <w:color w:val="000000" w:themeColor="text1"/>
          <w:kern w:val="0"/>
          <w:sz w:val="15"/>
          <w:szCs w:val="15"/>
        </w:rPr>
        <w:t xml:space="preserve"> and plastid isoprenoid</w:t>
      </w:r>
      <w:r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宋体" w:hAnsi="Times New Roman" w:cs="Times New Roman"/>
          <w:color w:val="000000" w:themeColor="text1"/>
          <w:kern w:val="0"/>
          <w:sz w:val="15"/>
          <w:szCs w:val="15"/>
        </w:rPr>
        <w:t>biosynthesis during tomato fruit ripening. The Plant Journal, 27, 213-222.</w:t>
      </w:r>
    </w:p>
    <w:p w:rsidR="009B2B42" w:rsidRPr="00BC560D" w:rsidRDefault="009B2B42"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宋体" w:hAnsi="Times New Roman" w:cs="Times New Roman"/>
          <w:color w:val="000000" w:themeColor="text1"/>
          <w:kern w:val="0"/>
          <w:sz w:val="15"/>
          <w:szCs w:val="15"/>
        </w:rPr>
        <w:t xml:space="preserve">[6] </w:t>
      </w:r>
      <w:proofErr w:type="spellStart"/>
      <w:r w:rsidRPr="00BC560D">
        <w:rPr>
          <w:rFonts w:ascii="Times New Roman" w:eastAsia="宋体" w:hAnsi="Times New Roman" w:cs="Times New Roman"/>
          <w:color w:val="000000" w:themeColor="text1"/>
          <w:kern w:val="0"/>
          <w:sz w:val="15"/>
          <w:szCs w:val="15"/>
        </w:rPr>
        <w:t>Terol</w:t>
      </w:r>
      <w:proofErr w:type="spellEnd"/>
      <w:r w:rsidRPr="00BC560D">
        <w:rPr>
          <w:rFonts w:ascii="Times New Roman" w:eastAsia="宋体" w:hAnsi="Times New Roman" w:cs="Times New Roman"/>
          <w:color w:val="000000" w:themeColor="text1"/>
          <w:kern w:val="0"/>
          <w:sz w:val="15"/>
          <w:szCs w:val="15"/>
        </w:rPr>
        <w:t xml:space="preserve"> J, Naranjo MA, </w:t>
      </w:r>
      <w:proofErr w:type="spellStart"/>
      <w:r w:rsidRPr="00BC560D">
        <w:rPr>
          <w:rFonts w:ascii="Times New Roman" w:eastAsia="宋体" w:hAnsi="Times New Roman" w:cs="Times New Roman"/>
          <w:color w:val="000000" w:themeColor="text1"/>
          <w:kern w:val="0"/>
          <w:sz w:val="15"/>
          <w:szCs w:val="15"/>
        </w:rPr>
        <w:t>Ollitrault</w:t>
      </w:r>
      <w:proofErr w:type="spellEnd"/>
      <w:r w:rsidRPr="00BC560D">
        <w:rPr>
          <w:rFonts w:ascii="Times New Roman" w:eastAsia="宋体" w:hAnsi="Times New Roman" w:cs="Times New Roman"/>
          <w:color w:val="000000" w:themeColor="text1"/>
          <w:kern w:val="0"/>
          <w:sz w:val="15"/>
          <w:szCs w:val="15"/>
        </w:rPr>
        <w:t xml:space="preserve"> P, Talon M. Development of genomic resources for </w:t>
      </w:r>
      <w:r w:rsidRPr="00BC560D">
        <w:rPr>
          <w:rFonts w:ascii="Times New Roman" w:eastAsia="宋体" w:hAnsi="Times New Roman" w:cs="Times New Roman"/>
          <w:i/>
          <w:color w:val="000000" w:themeColor="text1"/>
          <w:kern w:val="0"/>
          <w:sz w:val="15"/>
          <w:szCs w:val="15"/>
        </w:rPr>
        <w:t xml:space="preserve">Citrus </w:t>
      </w:r>
      <w:proofErr w:type="spellStart"/>
      <w:r w:rsidRPr="00BC560D">
        <w:rPr>
          <w:rFonts w:ascii="Times New Roman" w:eastAsia="宋体" w:hAnsi="Times New Roman" w:cs="Times New Roman"/>
          <w:i/>
          <w:color w:val="000000" w:themeColor="text1"/>
          <w:kern w:val="0"/>
          <w:sz w:val="15"/>
          <w:szCs w:val="15"/>
        </w:rPr>
        <w:t>clementina</w:t>
      </w:r>
      <w:proofErr w:type="spellEnd"/>
      <w:r w:rsidRPr="00BC560D">
        <w:rPr>
          <w:rFonts w:ascii="Times New Roman" w:eastAsia="宋体" w:hAnsi="Times New Roman" w:cs="Times New Roman"/>
          <w:color w:val="000000" w:themeColor="text1"/>
          <w:kern w:val="0"/>
          <w:sz w:val="15"/>
          <w:szCs w:val="15"/>
        </w:rPr>
        <w:t>: Characterization of three deep-coverage BAC libraries and analysis of 46,000 BAC end sequences. BMC Genomics, 2008, 9.</w:t>
      </w:r>
    </w:p>
    <w:p w:rsidR="009B2B42" w:rsidRPr="00BC560D" w:rsidRDefault="009B2B42" w:rsidP="00CF57DE">
      <w:pPr>
        <w:autoSpaceDE w:val="0"/>
        <w:autoSpaceDN w:val="0"/>
        <w:adjustRightInd w:val="0"/>
        <w:spacing w:line="360" w:lineRule="auto"/>
        <w:rPr>
          <w:rFonts w:ascii="Times New Roman" w:eastAsiaTheme="majorHAnsi" w:hAnsi="Times New Roman" w:cs="Times New Roman"/>
          <w:color w:val="000000" w:themeColor="text1"/>
          <w:kern w:val="0"/>
          <w:sz w:val="15"/>
          <w:szCs w:val="15"/>
        </w:rPr>
      </w:pPr>
      <w:r w:rsidRPr="00BC560D">
        <w:rPr>
          <w:rFonts w:ascii="Times New Roman" w:eastAsia="宋体" w:hAnsi="Times New Roman" w:cs="Times New Roman"/>
          <w:color w:val="000000" w:themeColor="text1"/>
          <w:kern w:val="0"/>
          <w:sz w:val="15"/>
          <w:szCs w:val="15"/>
        </w:rPr>
        <w:t xml:space="preserve">[7] </w:t>
      </w:r>
      <w:proofErr w:type="spellStart"/>
      <w:r w:rsidRPr="00BC560D">
        <w:rPr>
          <w:rFonts w:ascii="Times New Roman" w:eastAsia="宋体" w:hAnsi="Times New Roman" w:cs="Times New Roman"/>
          <w:color w:val="000000" w:themeColor="text1"/>
          <w:kern w:val="0"/>
          <w:sz w:val="15"/>
          <w:szCs w:val="15"/>
        </w:rPr>
        <w:t>Jacobo</w:t>
      </w:r>
      <w:proofErr w:type="spellEnd"/>
      <w:r w:rsidRPr="00BC560D">
        <w:rPr>
          <w:rFonts w:ascii="Times New Roman" w:eastAsia="宋体" w:hAnsi="Times New Roman" w:cs="Times New Roman"/>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Arango</w:t>
      </w:r>
      <w:proofErr w:type="spellEnd"/>
      <w:r w:rsidRPr="00BC560D">
        <w:rPr>
          <w:rFonts w:ascii="Times New Roman" w:eastAsia="宋体" w:hAnsi="Times New Roman" w:cs="Times New Roman"/>
          <w:color w:val="000000" w:themeColor="text1"/>
          <w:kern w:val="0"/>
          <w:sz w:val="15"/>
          <w:szCs w:val="15"/>
        </w:rPr>
        <w:t xml:space="preserve">, </w:t>
      </w:r>
      <w:r w:rsidR="00076D1F" w:rsidRPr="00BC560D">
        <w:rPr>
          <w:rFonts w:ascii="Times New Roman" w:eastAsia="宋体" w:hAnsi="Times New Roman" w:cs="Times New Roman"/>
          <w:color w:val="000000" w:themeColor="text1"/>
          <w:kern w:val="0"/>
          <w:sz w:val="15"/>
          <w:szCs w:val="15"/>
        </w:rPr>
        <w:t xml:space="preserve">Ralf </w:t>
      </w:r>
      <w:proofErr w:type="spellStart"/>
      <w:r w:rsidR="00076D1F" w:rsidRPr="00BC560D">
        <w:rPr>
          <w:rFonts w:ascii="Times New Roman" w:eastAsia="宋体" w:hAnsi="Times New Roman" w:cs="Times New Roman"/>
          <w:color w:val="000000" w:themeColor="text1"/>
          <w:kern w:val="0"/>
          <w:sz w:val="15"/>
          <w:szCs w:val="15"/>
        </w:rPr>
        <w:t>Welsch</w:t>
      </w:r>
      <w:proofErr w:type="spellEnd"/>
      <w:r w:rsidR="00076D1F" w:rsidRPr="00BC560D">
        <w:rPr>
          <w:rFonts w:ascii="Times New Roman" w:eastAsia="宋体" w:hAnsi="Times New Roman" w:cs="Times New Roman"/>
          <w:color w:val="000000" w:themeColor="text1"/>
          <w:kern w:val="0"/>
          <w:sz w:val="15"/>
          <w:szCs w:val="15"/>
        </w:rPr>
        <w:t xml:space="preserve">. </w:t>
      </w:r>
      <w:r w:rsidRPr="00BC560D">
        <w:rPr>
          <w:rFonts w:ascii="Times New Roman" w:eastAsiaTheme="majorHAnsi" w:hAnsi="Times New Roman" w:cs="Times New Roman"/>
          <w:color w:val="000000" w:themeColor="text1"/>
          <w:kern w:val="0"/>
          <w:sz w:val="15"/>
          <w:szCs w:val="15"/>
        </w:rPr>
        <w:t>Characterization of phytoene synthases from cassava</w:t>
      </w:r>
      <w:r w:rsidRPr="00BC560D">
        <w:rPr>
          <w:rFonts w:ascii="Times New Roman" w:eastAsiaTheme="majorHAnsi" w:hAnsi="Times New Roman" w:cs="Times New Roman" w:hint="eastAsia"/>
          <w:color w:val="000000" w:themeColor="text1"/>
          <w:kern w:val="0"/>
          <w:sz w:val="15"/>
          <w:szCs w:val="15"/>
        </w:rPr>
        <w:t xml:space="preserve"> </w:t>
      </w:r>
      <w:r w:rsidRPr="00BC560D">
        <w:rPr>
          <w:rFonts w:ascii="Times New Roman" w:eastAsiaTheme="majorHAnsi" w:hAnsi="Times New Roman" w:cs="Times New Roman"/>
          <w:color w:val="000000" w:themeColor="text1"/>
          <w:kern w:val="0"/>
          <w:sz w:val="15"/>
          <w:szCs w:val="15"/>
        </w:rPr>
        <w:t>and their involvement in abiotic stress-mediated responses</w:t>
      </w:r>
      <w:r w:rsidR="00076D1F" w:rsidRPr="00BC560D">
        <w:rPr>
          <w:rFonts w:ascii="Times New Roman" w:eastAsiaTheme="majorHAnsi" w:hAnsi="Times New Roman" w:cs="Times New Roman"/>
          <w:color w:val="000000" w:themeColor="text1"/>
          <w:kern w:val="0"/>
          <w:sz w:val="15"/>
          <w:szCs w:val="15"/>
        </w:rPr>
        <w:t>. Planta, 232:1251-1262.</w:t>
      </w:r>
    </w:p>
    <w:p w:rsidR="00076D1F" w:rsidRPr="00BC560D" w:rsidRDefault="00076D1F"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Theme="majorHAnsi" w:hAnsi="Times New Roman" w:cs="Times New Roman"/>
          <w:color w:val="000000" w:themeColor="text1"/>
          <w:kern w:val="0"/>
          <w:sz w:val="15"/>
          <w:szCs w:val="15"/>
        </w:rPr>
        <w:t xml:space="preserve">[8] </w:t>
      </w:r>
      <w:proofErr w:type="spellStart"/>
      <w:r w:rsidRPr="00BC560D">
        <w:rPr>
          <w:rFonts w:ascii="Times New Roman" w:eastAsia="宋体" w:hAnsi="Times New Roman" w:cs="Times New Roman"/>
          <w:color w:val="000000" w:themeColor="text1"/>
          <w:kern w:val="0"/>
          <w:sz w:val="15"/>
          <w:szCs w:val="15"/>
        </w:rPr>
        <w:t>Josse</w:t>
      </w:r>
      <w:proofErr w:type="spellEnd"/>
      <w:r w:rsidRPr="00BC560D">
        <w:rPr>
          <w:rFonts w:ascii="Times New Roman" w:eastAsia="宋体" w:hAnsi="Times New Roman" w:cs="Times New Roman"/>
          <w:color w:val="000000" w:themeColor="text1"/>
          <w:kern w:val="0"/>
          <w:sz w:val="15"/>
          <w:szCs w:val="15"/>
        </w:rPr>
        <w:t xml:space="preserve"> EM, </w:t>
      </w:r>
      <w:proofErr w:type="spellStart"/>
      <w:r w:rsidRPr="00BC560D">
        <w:rPr>
          <w:rFonts w:ascii="Times New Roman" w:eastAsia="宋体" w:hAnsi="Times New Roman" w:cs="Times New Roman"/>
          <w:color w:val="000000" w:themeColor="text1"/>
          <w:kern w:val="0"/>
          <w:sz w:val="15"/>
          <w:szCs w:val="15"/>
        </w:rPr>
        <w:t>Simkin</w:t>
      </w:r>
      <w:proofErr w:type="spellEnd"/>
      <w:r w:rsidRPr="00BC560D">
        <w:rPr>
          <w:rFonts w:ascii="Times New Roman" w:eastAsia="宋体" w:hAnsi="Times New Roman" w:cs="Times New Roman"/>
          <w:color w:val="000000" w:themeColor="text1"/>
          <w:kern w:val="0"/>
          <w:sz w:val="15"/>
          <w:szCs w:val="15"/>
        </w:rPr>
        <w:t xml:space="preserve"> AJ, Gaffe J, </w:t>
      </w:r>
      <w:proofErr w:type="spellStart"/>
      <w:r w:rsidRPr="00BC560D">
        <w:rPr>
          <w:rFonts w:ascii="Times New Roman" w:eastAsia="宋体" w:hAnsi="Times New Roman" w:cs="Times New Roman"/>
          <w:color w:val="000000" w:themeColor="text1"/>
          <w:kern w:val="0"/>
          <w:sz w:val="15"/>
          <w:szCs w:val="15"/>
        </w:rPr>
        <w:t>Laboure</w:t>
      </w:r>
      <w:proofErr w:type="spellEnd"/>
      <w:r w:rsidRPr="00BC560D">
        <w:rPr>
          <w:rFonts w:ascii="Times New Roman" w:eastAsia="宋体" w:hAnsi="Times New Roman" w:cs="Times New Roman"/>
          <w:color w:val="000000" w:themeColor="text1"/>
          <w:kern w:val="0"/>
          <w:sz w:val="15"/>
          <w:szCs w:val="15"/>
        </w:rPr>
        <w:t xml:space="preserve"> AM, Kuntz M, Carol P A plastid terminal oxidase associated with carotenoid desaturation during </w:t>
      </w:r>
      <w:proofErr w:type="spellStart"/>
      <w:r w:rsidRPr="00BC560D">
        <w:rPr>
          <w:rFonts w:ascii="Times New Roman" w:eastAsia="宋体" w:hAnsi="Times New Roman" w:cs="Times New Roman"/>
          <w:color w:val="000000" w:themeColor="text1"/>
          <w:kern w:val="0"/>
          <w:sz w:val="15"/>
          <w:szCs w:val="15"/>
        </w:rPr>
        <w:t>chromoplast</w:t>
      </w:r>
      <w:proofErr w:type="spellEnd"/>
      <w:r w:rsidRPr="00BC560D">
        <w:rPr>
          <w:rFonts w:ascii="Times New Roman" w:eastAsia="宋体" w:hAnsi="Times New Roman" w:cs="Times New Roman"/>
          <w:color w:val="000000" w:themeColor="text1"/>
          <w:kern w:val="0"/>
          <w:sz w:val="15"/>
          <w:szCs w:val="15"/>
        </w:rPr>
        <w:t xml:space="preserve"> differentiation. Plant Physiology, 2000, 123: 1427-1436.</w:t>
      </w:r>
    </w:p>
    <w:p w:rsidR="00076D1F" w:rsidRPr="00BC560D" w:rsidRDefault="00076D1F"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宋体" w:hAnsi="Times New Roman" w:cs="Times New Roman"/>
          <w:color w:val="000000" w:themeColor="text1"/>
          <w:kern w:val="0"/>
          <w:sz w:val="15"/>
          <w:szCs w:val="15"/>
        </w:rPr>
        <w:t xml:space="preserve">[9] Yu Q, Schaub P, </w:t>
      </w:r>
      <w:proofErr w:type="spellStart"/>
      <w:r w:rsidRPr="00BC560D">
        <w:rPr>
          <w:rFonts w:ascii="Times New Roman" w:eastAsia="宋体" w:hAnsi="Times New Roman" w:cs="Times New Roman"/>
          <w:color w:val="000000" w:themeColor="text1"/>
          <w:kern w:val="0"/>
          <w:sz w:val="15"/>
          <w:szCs w:val="15"/>
        </w:rPr>
        <w:t>Ghisla</w:t>
      </w:r>
      <w:proofErr w:type="spellEnd"/>
      <w:r w:rsidRPr="00BC560D">
        <w:rPr>
          <w:rFonts w:ascii="Times New Roman" w:eastAsia="宋体" w:hAnsi="Times New Roman" w:cs="Times New Roman"/>
          <w:color w:val="000000" w:themeColor="text1"/>
          <w:kern w:val="0"/>
          <w:sz w:val="15"/>
          <w:szCs w:val="15"/>
        </w:rPr>
        <w:t xml:space="preserve"> S, Al-</w:t>
      </w:r>
      <w:proofErr w:type="spellStart"/>
      <w:r w:rsidRPr="00BC560D">
        <w:rPr>
          <w:rFonts w:ascii="Times New Roman" w:eastAsia="宋体" w:hAnsi="Times New Roman" w:cs="Times New Roman"/>
          <w:color w:val="000000" w:themeColor="text1"/>
          <w:kern w:val="0"/>
          <w:sz w:val="15"/>
          <w:szCs w:val="15"/>
        </w:rPr>
        <w:t>Babili</w:t>
      </w:r>
      <w:proofErr w:type="spellEnd"/>
      <w:r w:rsidRPr="00BC560D">
        <w:rPr>
          <w:rFonts w:ascii="Times New Roman" w:eastAsia="宋体" w:hAnsi="Times New Roman" w:cs="Times New Roman"/>
          <w:color w:val="000000" w:themeColor="text1"/>
          <w:kern w:val="0"/>
          <w:sz w:val="15"/>
          <w:szCs w:val="15"/>
        </w:rPr>
        <w:t xml:space="preserve"> S, Krieger-</w:t>
      </w:r>
      <w:proofErr w:type="spellStart"/>
      <w:r w:rsidRPr="00BC560D">
        <w:rPr>
          <w:rFonts w:ascii="Times New Roman" w:eastAsia="宋体" w:hAnsi="Times New Roman" w:cs="Times New Roman"/>
          <w:color w:val="000000" w:themeColor="text1"/>
          <w:kern w:val="0"/>
          <w:sz w:val="15"/>
          <w:szCs w:val="15"/>
        </w:rPr>
        <w:t>Liszkay</w:t>
      </w:r>
      <w:proofErr w:type="spellEnd"/>
      <w:r w:rsidRPr="00BC560D">
        <w:rPr>
          <w:rFonts w:ascii="Times New Roman" w:eastAsia="宋体" w:hAnsi="Times New Roman" w:cs="Times New Roman"/>
          <w:color w:val="000000" w:themeColor="text1"/>
          <w:kern w:val="0"/>
          <w:sz w:val="15"/>
          <w:szCs w:val="15"/>
        </w:rPr>
        <w:t xml:space="preserve"> A, Beyer P The lycopene cyclase </w:t>
      </w:r>
      <w:proofErr w:type="spellStart"/>
      <w:r w:rsidRPr="00BC560D">
        <w:rPr>
          <w:rFonts w:ascii="Times New Roman" w:eastAsia="宋体" w:hAnsi="Times New Roman" w:cs="Times New Roman"/>
          <w:color w:val="000000" w:themeColor="text1"/>
          <w:kern w:val="0"/>
          <w:sz w:val="15"/>
          <w:szCs w:val="15"/>
        </w:rPr>
        <w:t>CrtY</w:t>
      </w:r>
      <w:proofErr w:type="spellEnd"/>
      <w:r w:rsidRPr="00BC560D">
        <w:rPr>
          <w:rFonts w:ascii="Times New Roman" w:eastAsia="宋体" w:hAnsi="Times New Roman" w:cs="Times New Roman"/>
          <w:color w:val="000000" w:themeColor="text1"/>
          <w:kern w:val="0"/>
          <w:sz w:val="15"/>
          <w:szCs w:val="15"/>
        </w:rPr>
        <w:t xml:space="preserve"> from </w:t>
      </w:r>
      <w:proofErr w:type="spellStart"/>
      <w:r w:rsidRPr="00BC560D">
        <w:rPr>
          <w:rFonts w:ascii="Times New Roman" w:eastAsia="宋体" w:hAnsi="Times New Roman" w:cs="Times New Roman"/>
          <w:color w:val="000000" w:themeColor="text1"/>
          <w:kern w:val="0"/>
          <w:sz w:val="15"/>
          <w:szCs w:val="15"/>
        </w:rPr>
        <w:t>Pantoea</w:t>
      </w:r>
      <w:proofErr w:type="spellEnd"/>
      <w:r w:rsidRPr="00BC560D">
        <w:rPr>
          <w:rFonts w:ascii="Times New Roman" w:eastAsia="宋体" w:hAnsi="Times New Roman" w:cs="Times New Roman"/>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ananatis</w:t>
      </w:r>
      <w:proofErr w:type="spellEnd"/>
      <w:r w:rsidRPr="00BC560D">
        <w:rPr>
          <w:rFonts w:ascii="Times New Roman" w:eastAsia="宋体" w:hAnsi="Times New Roman" w:cs="Times New Roman"/>
          <w:color w:val="000000" w:themeColor="text1"/>
          <w:kern w:val="0"/>
          <w:sz w:val="15"/>
          <w:szCs w:val="15"/>
        </w:rPr>
        <w:t xml:space="preserve"> (ex </w:t>
      </w:r>
      <w:proofErr w:type="spellStart"/>
      <w:r w:rsidRPr="00BC560D">
        <w:rPr>
          <w:rFonts w:ascii="Times New Roman" w:eastAsia="宋体" w:hAnsi="Times New Roman" w:cs="Times New Roman"/>
          <w:color w:val="000000" w:themeColor="text1"/>
          <w:kern w:val="0"/>
          <w:sz w:val="15"/>
          <w:szCs w:val="15"/>
        </w:rPr>
        <w:t>Erwinia</w:t>
      </w:r>
      <w:proofErr w:type="spellEnd"/>
      <w:r w:rsidRPr="00BC560D">
        <w:rPr>
          <w:rFonts w:ascii="Times New Roman" w:eastAsia="宋体" w:hAnsi="Times New Roman" w:cs="Times New Roman"/>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uredovora</w:t>
      </w:r>
      <w:proofErr w:type="spellEnd"/>
      <w:r w:rsidRPr="00BC560D">
        <w:rPr>
          <w:rFonts w:ascii="Times New Roman" w:eastAsia="宋体" w:hAnsi="Times New Roman" w:cs="Times New Roman"/>
          <w:color w:val="000000" w:themeColor="text1"/>
          <w:kern w:val="0"/>
          <w:sz w:val="15"/>
          <w:szCs w:val="15"/>
        </w:rPr>
        <w:t xml:space="preserve">) catalyzes an </w:t>
      </w:r>
      <w:proofErr w:type="spellStart"/>
      <w:r w:rsidRPr="00BC560D">
        <w:rPr>
          <w:rFonts w:ascii="Times New Roman" w:eastAsia="宋体" w:hAnsi="Times New Roman" w:cs="Times New Roman"/>
          <w:color w:val="000000" w:themeColor="text1"/>
          <w:kern w:val="0"/>
          <w:sz w:val="15"/>
          <w:szCs w:val="15"/>
        </w:rPr>
        <w:t>FADrea</w:t>
      </w:r>
      <w:proofErr w:type="spellEnd"/>
      <w:r w:rsidRPr="00BC560D">
        <w:rPr>
          <w:rFonts w:ascii="Times New Roman" w:eastAsia="宋体" w:hAnsi="Times New Roman" w:cs="Times New Roman"/>
          <w:color w:val="000000" w:themeColor="text1"/>
          <w:kern w:val="0"/>
          <w:sz w:val="15"/>
          <w:szCs w:val="15"/>
        </w:rPr>
        <w:t>-dependent non-redox reaction. Journal of Biological Chemistry, 2010, 285:12109.</w:t>
      </w:r>
    </w:p>
    <w:p w:rsidR="00076D1F" w:rsidRPr="00BC560D" w:rsidRDefault="00076D1F"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宋体" w:hAnsi="Times New Roman" w:cs="Times New Roman" w:hint="eastAsia"/>
          <w:color w:val="000000" w:themeColor="text1"/>
          <w:kern w:val="0"/>
          <w:sz w:val="15"/>
          <w:szCs w:val="15"/>
        </w:rPr>
        <w:t>[10]</w:t>
      </w:r>
      <w:r w:rsidRPr="00BC560D">
        <w:rPr>
          <w:rFonts w:ascii="Times New Roman" w:eastAsia="宋体" w:hAnsi="Times New Roman" w:cs="Times New Roman"/>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Vallabhaneni</w:t>
      </w:r>
      <w:proofErr w:type="spellEnd"/>
      <w:r w:rsidRPr="00BC560D">
        <w:rPr>
          <w:rFonts w:ascii="Times New Roman" w:eastAsia="宋体" w:hAnsi="Times New Roman" w:cs="Times New Roman"/>
          <w:color w:val="000000" w:themeColor="text1"/>
          <w:kern w:val="0"/>
          <w:sz w:val="15"/>
          <w:szCs w:val="15"/>
        </w:rPr>
        <w:t xml:space="preserve"> R, </w:t>
      </w:r>
      <w:proofErr w:type="spellStart"/>
      <w:r w:rsidRPr="00BC560D">
        <w:rPr>
          <w:rFonts w:ascii="Times New Roman" w:eastAsia="宋体" w:hAnsi="Times New Roman" w:cs="Times New Roman"/>
          <w:color w:val="000000" w:themeColor="text1"/>
          <w:kern w:val="0"/>
          <w:sz w:val="15"/>
          <w:szCs w:val="15"/>
        </w:rPr>
        <w:t>Wurtzel</w:t>
      </w:r>
      <w:proofErr w:type="spellEnd"/>
      <w:r w:rsidRPr="00BC560D">
        <w:rPr>
          <w:rFonts w:ascii="Times New Roman" w:eastAsia="宋体" w:hAnsi="Times New Roman" w:cs="Times New Roman"/>
          <w:color w:val="000000" w:themeColor="text1"/>
          <w:kern w:val="0"/>
          <w:sz w:val="15"/>
          <w:szCs w:val="15"/>
        </w:rPr>
        <w:t xml:space="preserve"> ET. Timing and biosynthetic potential for carotenoid accumulation in genetically diverse germplasm of maize. Plant Physiology, 2009, 150: 562-572.</w:t>
      </w:r>
    </w:p>
    <w:p w:rsidR="00076D1F" w:rsidRPr="00BC560D" w:rsidRDefault="00076D1F"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宋体" w:hAnsi="Times New Roman" w:cs="Times New Roman"/>
          <w:color w:val="000000" w:themeColor="text1"/>
          <w:kern w:val="0"/>
          <w:sz w:val="15"/>
          <w:szCs w:val="15"/>
        </w:rPr>
        <w:t xml:space="preserve">[11] </w:t>
      </w:r>
      <w:r w:rsidR="00436A6B" w:rsidRPr="00BC560D">
        <w:rPr>
          <w:rFonts w:ascii="Times New Roman" w:eastAsia="宋体" w:hAnsi="Times New Roman" w:cs="Times New Roman"/>
          <w:color w:val="000000" w:themeColor="text1"/>
          <w:kern w:val="0"/>
          <w:sz w:val="15"/>
          <w:szCs w:val="15"/>
        </w:rPr>
        <w:t xml:space="preserve">Schwartz, S.H., Qin, X., and </w:t>
      </w:r>
      <w:proofErr w:type="spellStart"/>
      <w:r w:rsidR="00436A6B" w:rsidRPr="00BC560D">
        <w:rPr>
          <w:rFonts w:ascii="Times New Roman" w:eastAsia="宋体" w:hAnsi="Times New Roman" w:cs="Times New Roman"/>
          <w:color w:val="000000" w:themeColor="text1"/>
          <w:kern w:val="0"/>
          <w:sz w:val="15"/>
          <w:szCs w:val="15"/>
        </w:rPr>
        <w:t>Zeevaart</w:t>
      </w:r>
      <w:proofErr w:type="spellEnd"/>
      <w:r w:rsidR="00436A6B" w:rsidRPr="00BC560D">
        <w:rPr>
          <w:rFonts w:ascii="Times New Roman" w:eastAsia="宋体" w:hAnsi="Times New Roman" w:cs="Times New Roman"/>
          <w:color w:val="000000" w:themeColor="text1"/>
          <w:kern w:val="0"/>
          <w:sz w:val="15"/>
          <w:szCs w:val="15"/>
        </w:rPr>
        <w:t>, J.A. (2001). Characterization of a novel</w:t>
      </w:r>
      <w:r w:rsidR="00436A6B" w:rsidRPr="00BC560D">
        <w:rPr>
          <w:rFonts w:ascii="Times New Roman" w:eastAsia="宋体" w:hAnsi="Times New Roman" w:cs="Times New Roman" w:hint="eastAsia"/>
          <w:color w:val="000000" w:themeColor="text1"/>
          <w:kern w:val="0"/>
          <w:sz w:val="15"/>
          <w:szCs w:val="15"/>
        </w:rPr>
        <w:t xml:space="preserve"> </w:t>
      </w:r>
      <w:r w:rsidR="00436A6B" w:rsidRPr="00BC560D">
        <w:rPr>
          <w:rFonts w:ascii="Times New Roman" w:eastAsia="宋体" w:hAnsi="Times New Roman" w:cs="Times New Roman"/>
          <w:color w:val="000000" w:themeColor="text1"/>
          <w:kern w:val="0"/>
          <w:sz w:val="15"/>
          <w:szCs w:val="15"/>
        </w:rPr>
        <w:t>carotenoid cleavage dioxygenase from plants. Journal of Biological Chemistry,</w:t>
      </w:r>
      <w:r w:rsidR="00436A6B" w:rsidRPr="00BC560D">
        <w:rPr>
          <w:rFonts w:ascii="Times New Roman" w:eastAsia="宋体" w:hAnsi="Times New Roman" w:cs="Times New Roman" w:hint="eastAsia"/>
          <w:color w:val="000000" w:themeColor="text1"/>
          <w:kern w:val="0"/>
          <w:sz w:val="15"/>
          <w:szCs w:val="15"/>
        </w:rPr>
        <w:t xml:space="preserve"> </w:t>
      </w:r>
      <w:r w:rsidR="00436A6B" w:rsidRPr="00BC560D">
        <w:rPr>
          <w:rFonts w:ascii="Times New Roman" w:eastAsia="宋体" w:hAnsi="Times New Roman" w:cs="Times New Roman"/>
          <w:color w:val="000000" w:themeColor="text1"/>
          <w:kern w:val="0"/>
          <w:sz w:val="15"/>
          <w:szCs w:val="15"/>
        </w:rPr>
        <w:t>276, 25208-25211.</w:t>
      </w:r>
    </w:p>
    <w:p w:rsidR="00436A6B" w:rsidRPr="00BC560D" w:rsidRDefault="00436A6B"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宋体" w:hAnsi="Times New Roman" w:cs="Times New Roman" w:hint="eastAsia"/>
          <w:color w:val="000000" w:themeColor="text1"/>
          <w:kern w:val="0"/>
          <w:sz w:val="15"/>
          <w:szCs w:val="15"/>
        </w:rPr>
        <w:t xml:space="preserve">[12] </w:t>
      </w:r>
      <w:proofErr w:type="spellStart"/>
      <w:r w:rsidRPr="00BC560D">
        <w:rPr>
          <w:rFonts w:ascii="Times New Roman" w:eastAsia="宋体" w:hAnsi="Times New Roman" w:cs="Times New Roman"/>
          <w:color w:val="000000" w:themeColor="text1"/>
          <w:kern w:val="0"/>
          <w:sz w:val="15"/>
          <w:szCs w:val="15"/>
        </w:rPr>
        <w:t>Nambara</w:t>
      </w:r>
      <w:proofErr w:type="spellEnd"/>
      <w:r w:rsidRPr="00BC560D">
        <w:rPr>
          <w:rFonts w:ascii="Times New Roman" w:eastAsia="宋体" w:hAnsi="Times New Roman" w:cs="Times New Roman"/>
          <w:color w:val="000000" w:themeColor="text1"/>
          <w:kern w:val="0"/>
          <w:sz w:val="15"/>
          <w:szCs w:val="15"/>
        </w:rPr>
        <w:t>, E., and Marion-Poll, A. (2005). Abscisic acid biosynthesis and</w:t>
      </w:r>
      <w:r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宋体" w:hAnsi="Times New Roman" w:cs="Times New Roman"/>
          <w:color w:val="000000" w:themeColor="text1"/>
          <w:kern w:val="0"/>
          <w:sz w:val="15"/>
          <w:szCs w:val="15"/>
        </w:rPr>
        <w:t>catabolism. Annual Review Plant Biology, 56,165-185.</w:t>
      </w:r>
    </w:p>
    <w:p w:rsidR="002E6A81" w:rsidRPr="00BC560D" w:rsidRDefault="00436A6B" w:rsidP="00CF57DE">
      <w:pPr>
        <w:autoSpaceDE w:val="0"/>
        <w:autoSpaceDN w:val="0"/>
        <w:adjustRightInd w:val="0"/>
        <w:spacing w:line="360" w:lineRule="auto"/>
        <w:rPr>
          <w:rFonts w:ascii="TimesNewRomanPSMT" w:hAnsi="TimesNewRomanPSMT" w:cs="TimesNewRomanPSMT"/>
          <w:color w:val="000000" w:themeColor="text1"/>
          <w:kern w:val="0"/>
          <w:sz w:val="15"/>
          <w:szCs w:val="15"/>
        </w:rPr>
      </w:pPr>
      <w:r w:rsidRPr="00BC560D">
        <w:rPr>
          <w:rFonts w:ascii="Times New Roman" w:eastAsia="宋体" w:hAnsi="Times New Roman" w:cs="Times New Roman"/>
          <w:color w:val="000000" w:themeColor="text1"/>
          <w:kern w:val="0"/>
          <w:sz w:val="15"/>
          <w:szCs w:val="15"/>
        </w:rPr>
        <w:t xml:space="preserve">[13] </w:t>
      </w:r>
      <w:r w:rsidR="002E6A81" w:rsidRPr="00BC560D">
        <w:rPr>
          <w:rFonts w:ascii="TimesNewRomanPSMT" w:hAnsi="TimesNewRomanPSMT" w:cs="TimesNewRomanPSMT"/>
          <w:color w:val="000000" w:themeColor="text1"/>
          <w:kern w:val="0"/>
          <w:sz w:val="15"/>
          <w:szCs w:val="15"/>
        </w:rPr>
        <w:t xml:space="preserve">Horner HT, Healy RA, Ren G, Fritz D, </w:t>
      </w:r>
      <w:proofErr w:type="spellStart"/>
      <w:r w:rsidR="002E6A81" w:rsidRPr="00BC560D">
        <w:rPr>
          <w:rFonts w:ascii="TimesNewRomanPSMT" w:hAnsi="TimesNewRomanPSMT" w:cs="TimesNewRomanPSMT"/>
          <w:color w:val="000000" w:themeColor="text1"/>
          <w:kern w:val="0"/>
          <w:sz w:val="15"/>
          <w:szCs w:val="15"/>
        </w:rPr>
        <w:t>Klyne</w:t>
      </w:r>
      <w:proofErr w:type="spellEnd"/>
      <w:r w:rsidR="002E6A81" w:rsidRPr="00BC560D">
        <w:rPr>
          <w:rFonts w:ascii="TimesNewRomanPSMT" w:hAnsi="TimesNewRomanPSMT" w:cs="TimesNewRomanPSMT"/>
          <w:color w:val="000000" w:themeColor="text1"/>
          <w:kern w:val="0"/>
          <w:sz w:val="15"/>
          <w:szCs w:val="15"/>
        </w:rPr>
        <w:t xml:space="preserve"> A, </w:t>
      </w:r>
      <w:proofErr w:type="spellStart"/>
      <w:r w:rsidR="002E6A81" w:rsidRPr="00BC560D">
        <w:rPr>
          <w:rFonts w:ascii="TimesNewRomanPSMT" w:hAnsi="TimesNewRomanPSMT" w:cs="TimesNewRomanPSMT"/>
          <w:color w:val="000000" w:themeColor="text1"/>
          <w:kern w:val="0"/>
          <w:sz w:val="15"/>
          <w:szCs w:val="15"/>
        </w:rPr>
        <w:t>Seames</w:t>
      </w:r>
      <w:proofErr w:type="spellEnd"/>
      <w:r w:rsidR="002E6A81" w:rsidRPr="00BC560D">
        <w:rPr>
          <w:rFonts w:ascii="TimesNewRomanPSMT" w:hAnsi="TimesNewRomanPSMT" w:cs="TimesNewRomanPSMT"/>
          <w:color w:val="000000" w:themeColor="text1"/>
          <w:kern w:val="0"/>
          <w:sz w:val="15"/>
          <w:szCs w:val="15"/>
        </w:rPr>
        <w:t xml:space="preserve"> C. et al. </w:t>
      </w:r>
      <w:proofErr w:type="spellStart"/>
      <w:r w:rsidR="002E6A81" w:rsidRPr="00BC560D">
        <w:rPr>
          <w:rFonts w:ascii="TimesNewRomanPSMT" w:hAnsi="TimesNewRomanPSMT" w:cs="TimesNewRomanPSMT"/>
          <w:color w:val="000000" w:themeColor="text1"/>
          <w:kern w:val="0"/>
          <w:sz w:val="15"/>
          <w:szCs w:val="15"/>
        </w:rPr>
        <w:t>Amyloplast</w:t>
      </w:r>
      <w:proofErr w:type="spellEnd"/>
      <w:r w:rsidR="002E6A81" w:rsidRPr="00BC560D">
        <w:rPr>
          <w:rFonts w:ascii="TimesNewRomanPSMT" w:hAnsi="TimesNewRomanPSMT" w:cs="TimesNewRomanPSMT"/>
          <w:color w:val="000000" w:themeColor="text1"/>
          <w:kern w:val="0"/>
          <w:sz w:val="15"/>
          <w:szCs w:val="15"/>
        </w:rPr>
        <w:t xml:space="preserve"> to</w:t>
      </w:r>
    </w:p>
    <w:p w:rsidR="00436A6B" w:rsidRPr="00BC560D" w:rsidRDefault="002E6A81" w:rsidP="00CF57DE">
      <w:pPr>
        <w:autoSpaceDE w:val="0"/>
        <w:autoSpaceDN w:val="0"/>
        <w:adjustRightInd w:val="0"/>
        <w:spacing w:line="360" w:lineRule="auto"/>
        <w:rPr>
          <w:rFonts w:ascii="TimesNewRomanPSMT" w:hAnsi="TimesNewRomanPSMT" w:cs="TimesNewRomanPSMT"/>
          <w:color w:val="000000" w:themeColor="text1"/>
          <w:kern w:val="0"/>
          <w:sz w:val="15"/>
          <w:szCs w:val="15"/>
        </w:rPr>
      </w:pPr>
      <w:proofErr w:type="spellStart"/>
      <w:r w:rsidRPr="00BC560D">
        <w:rPr>
          <w:rFonts w:ascii="TimesNewRomanPSMT" w:hAnsi="TimesNewRomanPSMT" w:cs="TimesNewRomanPSMT"/>
          <w:color w:val="000000" w:themeColor="text1"/>
          <w:kern w:val="0"/>
          <w:sz w:val="15"/>
          <w:szCs w:val="15"/>
        </w:rPr>
        <w:t>chromoplast</w:t>
      </w:r>
      <w:proofErr w:type="spellEnd"/>
      <w:r w:rsidRPr="00BC560D">
        <w:rPr>
          <w:rFonts w:ascii="TimesNewRomanPSMT" w:hAnsi="TimesNewRomanPSMT" w:cs="TimesNewRomanPSMT"/>
          <w:color w:val="000000" w:themeColor="text1"/>
          <w:kern w:val="0"/>
          <w:sz w:val="15"/>
          <w:szCs w:val="15"/>
        </w:rPr>
        <w:t xml:space="preserve"> conversion in developing ornamental tobacco floral </w:t>
      </w:r>
      <w:proofErr w:type="spellStart"/>
      <w:r w:rsidRPr="00BC560D">
        <w:rPr>
          <w:rFonts w:ascii="TimesNewRomanPSMT" w:hAnsi="TimesNewRomanPSMT" w:cs="TimesNewRomanPSMT"/>
          <w:color w:val="000000" w:themeColor="text1"/>
          <w:kern w:val="0"/>
          <w:sz w:val="15"/>
          <w:szCs w:val="15"/>
        </w:rPr>
        <w:t>nectaries</w:t>
      </w:r>
      <w:proofErr w:type="spellEnd"/>
      <w:r w:rsidRPr="00BC560D">
        <w:rPr>
          <w:rFonts w:ascii="TimesNewRomanPSMT" w:hAnsi="TimesNewRomanPSMT" w:cs="TimesNewRomanPSMT"/>
          <w:color w:val="000000" w:themeColor="text1"/>
          <w:kern w:val="0"/>
          <w:sz w:val="15"/>
          <w:szCs w:val="15"/>
        </w:rPr>
        <w:t xml:space="preserve"> provides sugar</w:t>
      </w:r>
      <w:r w:rsidRPr="00BC560D">
        <w:rPr>
          <w:rFonts w:ascii="TimesNewRomanPSMT" w:hAnsi="TimesNewRomanPSMT" w:cs="TimesNewRomanPSMT" w:hint="eastAsia"/>
          <w:color w:val="000000" w:themeColor="text1"/>
          <w:kern w:val="0"/>
          <w:sz w:val="15"/>
          <w:szCs w:val="15"/>
        </w:rPr>
        <w:t xml:space="preserve"> </w:t>
      </w:r>
      <w:r w:rsidRPr="00BC560D">
        <w:rPr>
          <w:rFonts w:ascii="TimesNewRomanPSMT" w:hAnsi="TimesNewRomanPSMT" w:cs="TimesNewRomanPSMT"/>
          <w:color w:val="000000" w:themeColor="text1"/>
          <w:kern w:val="0"/>
          <w:sz w:val="15"/>
          <w:szCs w:val="15"/>
        </w:rPr>
        <w:t xml:space="preserve">for nectar and antioxidants for protection. </w:t>
      </w:r>
      <w:r w:rsidRPr="00BC560D">
        <w:rPr>
          <w:rFonts w:ascii="Times New Roman" w:hAnsi="Times New Roman" w:cs="Times New Roman"/>
          <w:bCs/>
          <w:iCs/>
          <w:color w:val="000000" w:themeColor="text1"/>
          <w:kern w:val="0"/>
          <w:sz w:val="15"/>
          <w:szCs w:val="15"/>
        </w:rPr>
        <w:t>Amer. J. Bot</w:t>
      </w:r>
      <w:r w:rsidRPr="00BC560D">
        <w:rPr>
          <w:rFonts w:ascii="Times New Roman" w:hAnsi="Times New Roman" w:cs="Times New Roman"/>
          <w:b/>
          <w:bCs/>
          <w:i/>
          <w:iCs/>
          <w:color w:val="000000" w:themeColor="text1"/>
          <w:kern w:val="0"/>
          <w:sz w:val="15"/>
          <w:szCs w:val="15"/>
        </w:rPr>
        <w:t xml:space="preserve">. </w:t>
      </w:r>
      <w:r w:rsidRPr="00BC560D">
        <w:rPr>
          <w:rFonts w:ascii="TimesNewRomanPSMT" w:hAnsi="TimesNewRomanPSMT" w:cs="TimesNewRomanPSMT"/>
          <w:color w:val="000000" w:themeColor="text1"/>
          <w:kern w:val="0"/>
          <w:sz w:val="15"/>
          <w:szCs w:val="15"/>
        </w:rPr>
        <w:t>2007, 94: 12-24.</w:t>
      </w:r>
    </w:p>
    <w:p w:rsidR="002E6A81" w:rsidRPr="00BC560D" w:rsidRDefault="002E6A81" w:rsidP="00CF57DE">
      <w:pPr>
        <w:autoSpaceDE w:val="0"/>
        <w:autoSpaceDN w:val="0"/>
        <w:adjustRightInd w:val="0"/>
        <w:spacing w:line="360" w:lineRule="auto"/>
        <w:rPr>
          <w:rFonts w:ascii="TimesNewRomanPSMT" w:hAnsi="TimesNewRomanPSMT" w:cs="TimesNewRomanPSMT"/>
          <w:color w:val="000000" w:themeColor="text1"/>
          <w:kern w:val="0"/>
          <w:sz w:val="15"/>
          <w:szCs w:val="15"/>
        </w:rPr>
      </w:pPr>
      <w:r w:rsidRPr="00BC560D">
        <w:rPr>
          <w:rFonts w:ascii="TimesNewRomanPSMT" w:hAnsi="TimesNewRomanPSMT" w:cs="TimesNewRomanPSMT"/>
          <w:color w:val="000000" w:themeColor="text1"/>
          <w:kern w:val="0"/>
          <w:sz w:val="15"/>
          <w:szCs w:val="15"/>
        </w:rPr>
        <w:t xml:space="preserve">[14] Lu S, Van Eck J, Zhou X, Lopez AB, O'Halloran DM, </w:t>
      </w:r>
      <w:proofErr w:type="spellStart"/>
      <w:r w:rsidRPr="00BC560D">
        <w:rPr>
          <w:rFonts w:ascii="TimesNewRomanPSMT" w:hAnsi="TimesNewRomanPSMT" w:cs="TimesNewRomanPSMT"/>
          <w:color w:val="000000" w:themeColor="text1"/>
          <w:kern w:val="0"/>
          <w:sz w:val="15"/>
          <w:szCs w:val="15"/>
        </w:rPr>
        <w:t>Cosman</w:t>
      </w:r>
      <w:proofErr w:type="spellEnd"/>
      <w:r w:rsidRPr="00BC560D">
        <w:rPr>
          <w:rFonts w:ascii="TimesNewRomanPSMT" w:hAnsi="TimesNewRomanPSMT" w:cs="TimesNewRomanPSMT"/>
          <w:color w:val="000000" w:themeColor="text1"/>
          <w:kern w:val="0"/>
          <w:sz w:val="15"/>
          <w:szCs w:val="15"/>
        </w:rPr>
        <w:t xml:space="preserve"> KM, </w:t>
      </w:r>
      <w:proofErr w:type="spellStart"/>
      <w:r w:rsidRPr="00BC560D">
        <w:rPr>
          <w:rFonts w:ascii="TimesNewRomanPSMT" w:hAnsi="TimesNewRomanPSMT" w:cs="TimesNewRomanPSMT"/>
          <w:color w:val="000000" w:themeColor="text1"/>
          <w:kern w:val="0"/>
          <w:sz w:val="15"/>
          <w:szCs w:val="15"/>
        </w:rPr>
        <w:t>Conlin</w:t>
      </w:r>
      <w:proofErr w:type="spellEnd"/>
      <w:r w:rsidRPr="00BC560D">
        <w:rPr>
          <w:rFonts w:ascii="TimesNewRomanPSMT" w:hAnsi="TimesNewRomanPSMT" w:cs="TimesNewRomanPSMT"/>
          <w:color w:val="000000" w:themeColor="text1"/>
          <w:kern w:val="0"/>
          <w:sz w:val="15"/>
          <w:szCs w:val="15"/>
        </w:rPr>
        <w:t xml:space="preserve"> BJ,</w:t>
      </w:r>
    </w:p>
    <w:p w:rsidR="002E6A81" w:rsidRPr="00BC560D" w:rsidRDefault="002E6A81" w:rsidP="00CF57DE">
      <w:pPr>
        <w:autoSpaceDE w:val="0"/>
        <w:autoSpaceDN w:val="0"/>
        <w:adjustRightInd w:val="0"/>
        <w:spacing w:line="360" w:lineRule="auto"/>
        <w:rPr>
          <w:rFonts w:ascii="TimesNewRomanPSMT" w:hAnsi="TimesNewRomanPSMT" w:cs="TimesNewRomanPSMT"/>
          <w:color w:val="000000" w:themeColor="text1"/>
          <w:kern w:val="0"/>
          <w:sz w:val="15"/>
          <w:szCs w:val="15"/>
        </w:rPr>
      </w:pPr>
      <w:proofErr w:type="spellStart"/>
      <w:r w:rsidRPr="00BC560D">
        <w:rPr>
          <w:rFonts w:ascii="TimesNewRomanPSMT" w:hAnsi="TimesNewRomanPSMT" w:cs="TimesNewRomanPSMT"/>
          <w:color w:val="000000" w:themeColor="text1"/>
          <w:kern w:val="0"/>
          <w:sz w:val="15"/>
          <w:szCs w:val="15"/>
        </w:rPr>
        <w:t>Paolillo</w:t>
      </w:r>
      <w:proofErr w:type="spellEnd"/>
      <w:r w:rsidRPr="00BC560D">
        <w:rPr>
          <w:rFonts w:ascii="TimesNewRomanPSMT" w:hAnsi="TimesNewRomanPSMT" w:cs="TimesNewRomanPSMT"/>
          <w:color w:val="000000" w:themeColor="text1"/>
          <w:kern w:val="0"/>
          <w:sz w:val="15"/>
          <w:szCs w:val="15"/>
        </w:rPr>
        <w:t xml:space="preserve"> DJ, Garvin DF, </w:t>
      </w:r>
      <w:proofErr w:type="spellStart"/>
      <w:r w:rsidRPr="00BC560D">
        <w:rPr>
          <w:rFonts w:ascii="TimesNewRomanPSMT" w:hAnsi="TimesNewRomanPSMT" w:cs="TimesNewRomanPSMT"/>
          <w:color w:val="000000" w:themeColor="text1"/>
          <w:kern w:val="0"/>
          <w:sz w:val="15"/>
          <w:szCs w:val="15"/>
        </w:rPr>
        <w:t>Vrebalov</w:t>
      </w:r>
      <w:proofErr w:type="spellEnd"/>
      <w:r w:rsidRPr="00BC560D">
        <w:rPr>
          <w:rFonts w:ascii="TimesNewRomanPSMT" w:hAnsi="TimesNewRomanPSMT" w:cs="TimesNewRomanPSMT"/>
          <w:color w:val="000000" w:themeColor="text1"/>
          <w:kern w:val="0"/>
          <w:sz w:val="15"/>
          <w:szCs w:val="15"/>
        </w:rPr>
        <w:t xml:space="preserve"> J, </w:t>
      </w:r>
      <w:proofErr w:type="spellStart"/>
      <w:r w:rsidRPr="00BC560D">
        <w:rPr>
          <w:rFonts w:ascii="TimesNewRomanPSMT" w:hAnsi="TimesNewRomanPSMT" w:cs="TimesNewRomanPSMT"/>
          <w:color w:val="000000" w:themeColor="text1"/>
          <w:kern w:val="0"/>
          <w:sz w:val="15"/>
          <w:szCs w:val="15"/>
        </w:rPr>
        <w:t>Kochian</w:t>
      </w:r>
      <w:proofErr w:type="spellEnd"/>
      <w:r w:rsidRPr="00BC560D">
        <w:rPr>
          <w:rFonts w:ascii="TimesNewRomanPSMT" w:hAnsi="TimesNewRomanPSMT" w:cs="TimesNewRomanPSMT"/>
          <w:color w:val="000000" w:themeColor="text1"/>
          <w:kern w:val="0"/>
          <w:sz w:val="15"/>
          <w:szCs w:val="15"/>
        </w:rPr>
        <w:t xml:space="preserve"> LV, </w:t>
      </w:r>
      <w:proofErr w:type="spellStart"/>
      <w:r w:rsidRPr="00BC560D">
        <w:rPr>
          <w:rFonts w:ascii="TimesNewRomanPSMT" w:hAnsi="TimesNewRomanPSMT" w:cs="TimesNewRomanPSMT"/>
          <w:color w:val="000000" w:themeColor="text1"/>
          <w:kern w:val="0"/>
          <w:sz w:val="15"/>
          <w:szCs w:val="15"/>
        </w:rPr>
        <w:t>Kupper</w:t>
      </w:r>
      <w:proofErr w:type="spellEnd"/>
      <w:r w:rsidRPr="00BC560D">
        <w:rPr>
          <w:rFonts w:ascii="TimesNewRomanPSMT" w:hAnsi="TimesNewRomanPSMT" w:cs="TimesNewRomanPSMT"/>
          <w:color w:val="000000" w:themeColor="text1"/>
          <w:kern w:val="0"/>
          <w:sz w:val="15"/>
          <w:szCs w:val="15"/>
        </w:rPr>
        <w:t xml:space="preserve"> H, Earle ED, Cao J, Li L.</w:t>
      </w:r>
    </w:p>
    <w:p w:rsidR="002E6A81" w:rsidRPr="00BC560D" w:rsidRDefault="002E6A81" w:rsidP="00CF57DE">
      <w:pPr>
        <w:autoSpaceDE w:val="0"/>
        <w:autoSpaceDN w:val="0"/>
        <w:adjustRightInd w:val="0"/>
        <w:spacing w:line="360" w:lineRule="auto"/>
        <w:rPr>
          <w:rFonts w:ascii="TimesNewRomanPSMT" w:hAnsi="TimesNewRomanPSMT" w:cs="TimesNewRomanPSMT"/>
          <w:color w:val="000000" w:themeColor="text1"/>
          <w:kern w:val="0"/>
          <w:sz w:val="15"/>
          <w:szCs w:val="15"/>
        </w:rPr>
      </w:pPr>
      <w:r w:rsidRPr="00BC560D">
        <w:rPr>
          <w:rFonts w:ascii="TimesNewRomanPSMT" w:hAnsi="TimesNewRomanPSMT" w:cs="TimesNewRomanPSMT"/>
          <w:color w:val="000000" w:themeColor="text1"/>
          <w:kern w:val="0"/>
          <w:sz w:val="15"/>
          <w:szCs w:val="15"/>
        </w:rPr>
        <w:t xml:space="preserve">The cauliflower </w:t>
      </w:r>
      <w:proofErr w:type="gramStart"/>
      <w:r w:rsidRPr="00BC560D">
        <w:rPr>
          <w:rFonts w:ascii="TimesNewRomanPSMT" w:hAnsi="TimesNewRomanPSMT" w:cs="TimesNewRomanPSMT"/>
          <w:color w:val="000000" w:themeColor="text1"/>
          <w:kern w:val="0"/>
          <w:sz w:val="15"/>
          <w:szCs w:val="15"/>
        </w:rPr>
        <w:t>Or</w:t>
      </w:r>
      <w:proofErr w:type="gramEnd"/>
      <w:r w:rsidRPr="00BC560D">
        <w:rPr>
          <w:rFonts w:ascii="TimesNewRomanPSMT" w:hAnsi="TimesNewRomanPSMT" w:cs="TimesNewRomanPSMT"/>
          <w:color w:val="000000" w:themeColor="text1"/>
          <w:kern w:val="0"/>
          <w:sz w:val="15"/>
          <w:szCs w:val="15"/>
        </w:rPr>
        <w:t xml:space="preserve"> gene encodes a </w:t>
      </w:r>
      <w:proofErr w:type="spellStart"/>
      <w:r w:rsidRPr="00BC560D">
        <w:rPr>
          <w:rFonts w:ascii="TimesNewRomanPSMT" w:hAnsi="TimesNewRomanPSMT" w:cs="TimesNewRomanPSMT"/>
          <w:color w:val="000000" w:themeColor="text1"/>
          <w:kern w:val="0"/>
          <w:sz w:val="15"/>
          <w:szCs w:val="15"/>
        </w:rPr>
        <w:t>DnaJ</w:t>
      </w:r>
      <w:proofErr w:type="spellEnd"/>
      <w:r w:rsidRPr="00BC560D">
        <w:rPr>
          <w:rFonts w:ascii="TimesNewRomanPSMT" w:hAnsi="TimesNewRomanPSMT" w:cs="TimesNewRomanPSMT"/>
          <w:color w:val="000000" w:themeColor="text1"/>
          <w:kern w:val="0"/>
          <w:sz w:val="15"/>
          <w:szCs w:val="15"/>
        </w:rPr>
        <w:t xml:space="preserve"> cysteine-rich domain-containing protein that</w:t>
      </w:r>
    </w:p>
    <w:p w:rsidR="002E6A81" w:rsidRPr="00BC560D" w:rsidRDefault="002E6A81" w:rsidP="00CF57DE">
      <w:pPr>
        <w:autoSpaceDE w:val="0"/>
        <w:autoSpaceDN w:val="0"/>
        <w:adjustRightInd w:val="0"/>
        <w:spacing w:line="360" w:lineRule="auto"/>
        <w:rPr>
          <w:rFonts w:ascii="TimesNewRomanPSMT" w:hAnsi="TimesNewRomanPSMT" w:cs="TimesNewRomanPSMT"/>
          <w:color w:val="000000" w:themeColor="text1"/>
          <w:kern w:val="0"/>
          <w:sz w:val="15"/>
          <w:szCs w:val="15"/>
        </w:rPr>
      </w:pPr>
      <w:r w:rsidRPr="00BC560D">
        <w:rPr>
          <w:rFonts w:ascii="TimesNewRomanPSMT" w:hAnsi="TimesNewRomanPSMT" w:cs="TimesNewRomanPSMT"/>
          <w:color w:val="000000" w:themeColor="text1"/>
          <w:kern w:val="0"/>
          <w:sz w:val="15"/>
          <w:szCs w:val="15"/>
        </w:rPr>
        <w:t>mediates high levels of beta-carotene accumulation. Plant Cell, 2006, 18: 3594-3605.</w:t>
      </w:r>
    </w:p>
    <w:p w:rsidR="002E6A81" w:rsidRPr="00BC560D" w:rsidRDefault="003E6219" w:rsidP="00CF57DE">
      <w:pPr>
        <w:autoSpaceDE w:val="0"/>
        <w:autoSpaceDN w:val="0"/>
        <w:adjustRightInd w:val="0"/>
        <w:spacing w:line="360" w:lineRule="auto"/>
        <w:rPr>
          <w:rFonts w:ascii="Times New Roman" w:eastAsia="AdvGulliv-R" w:hAnsi="Times New Roman" w:cs="Times New Roman"/>
          <w:color w:val="000000" w:themeColor="text1"/>
          <w:kern w:val="0"/>
          <w:sz w:val="15"/>
          <w:szCs w:val="15"/>
        </w:rPr>
      </w:pPr>
      <w:r w:rsidRPr="00BC560D">
        <w:rPr>
          <w:rFonts w:ascii="TimesNewRomanPSMT" w:hAnsi="TimesNewRomanPSMT" w:cs="TimesNewRomanPSMT"/>
          <w:color w:val="000000" w:themeColor="text1"/>
          <w:kern w:val="0"/>
          <w:sz w:val="15"/>
          <w:szCs w:val="15"/>
        </w:rPr>
        <w:t>[15]</w:t>
      </w:r>
      <w:r w:rsidR="002E6A81" w:rsidRPr="00BC560D">
        <w:rPr>
          <w:rFonts w:ascii="TimesNewRomanPSMT" w:hAnsi="TimesNewRomanPSMT" w:cs="TimesNewRomanPSMT"/>
          <w:color w:val="000000" w:themeColor="text1"/>
          <w:kern w:val="0"/>
          <w:sz w:val="15"/>
          <w:szCs w:val="15"/>
        </w:rPr>
        <w:t xml:space="preserve"> </w:t>
      </w:r>
      <w:r w:rsidR="002E6A81" w:rsidRPr="00BC560D">
        <w:rPr>
          <w:rFonts w:ascii="Times New Roman" w:eastAsia="AdvGulliv-R" w:hAnsi="Times New Roman" w:cs="Times New Roman"/>
          <w:color w:val="000000" w:themeColor="text1"/>
          <w:kern w:val="0"/>
          <w:sz w:val="15"/>
          <w:szCs w:val="15"/>
        </w:rPr>
        <w:t xml:space="preserve">W. Sun, M. Van Montagu, N. </w:t>
      </w:r>
      <w:proofErr w:type="spellStart"/>
      <w:r w:rsidR="002E6A81" w:rsidRPr="00BC560D">
        <w:rPr>
          <w:rFonts w:ascii="Times New Roman" w:eastAsia="AdvGulliv-R" w:hAnsi="Times New Roman" w:cs="Times New Roman"/>
          <w:color w:val="000000" w:themeColor="text1"/>
          <w:kern w:val="0"/>
          <w:sz w:val="15"/>
          <w:szCs w:val="15"/>
        </w:rPr>
        <w:t>Verbruggen</w:t>
      </w:r>
      <w:proofErr w:type="spellEnd"/>
      <w:r w:rsidR="002E6A81" w:rsidRPr="00BC560D">
        <w:rPr>
          <w:rFonts w:ascii="Times New Roman" w:eastAsia="AdvGulliv-R" w:hAnsi="Times New Roman" w:cs="Times New Roman"/>
          <w:color w:val="000000" w:themeColor="text1"/>
          <w:kern w:val="0"/>
          <w:sz w:val="15"/>
          <w:szCs w:val="15"/>
        </w:rPr>
        <w:t xml:space="preserve">, </w:t>
      </w:r>
      <w:r w:rsidRPr="00BC560D">
        <w:rPr>
          <w:rFonts w:ascii="Times New Roman" w:eastAsia="AdvGulliv-R" w:hAnsi="Times New Roman" w:cs="Times New Roman"/>
          <w:color w:val="000000" w:themeColor="text1"/>
          <w:kern w:val="0"/>
          <w:sz w:val="15"/>
          <w:szCs w:val="15"/>
        </w:rPr>
        <w:t xml:space="preserve">Small heat shock protein and stress tolerance in plants. </w:t>
      </w:r>
      <w:proofErr w:type="spellStart"/>
      <w:r w:rsidR="002E6A81" w:rsidRPr="00BC560D">
        <w:rPr>
          <w:rFonts w:ascii="Times New Roman" w:eastAsia="AdvGulliv-R" w:hAnsi="Times New Roman" w:cs="Times New Roman"/>
          <w:color w:val="000000" w:themeColor="text1"/>
          <w:kern w:val="0"/>
          <w:sz w:val="15"/>
          <w:szCs w:val="15"/>
        </w:rPr>
        <w:t>Bio</w:t>
      </w:r>
      <w:r w:rsidRPr="00BC560D">
        <w:rPr>
          <w:rFonts w:ascii="Times New Roman" w:eastAsia="AdvGulliv-R" w:hAnsi="Times New Roman" w:cs="Times New Roman"/>
          <w:color w:val="000000" w:themeColor="text1"/>
          <w:kern w:val="0"/>
          <w:sz w:val="15"/>
          <w:szCs w:val="15"/>
        </w:rPr>
        <w:t>chim</w:t>
      </w:r>
      <w:proofErr w:type="spellEnd"/>
      <w:r w:rsidRPr="00BC560D">
        <w:rPr>
          <w:rFonts w:ascii="Times New Roman" w:eastAsia="AdvGulliv-R" w:hAnsi="Times New Roman" w:cs="Times New Roman"/>
          <w:color w:val="000000" w:themeColor="text1"/>
          <w:kern w:val="0"/>
          <w:sz w:val="15"/>
          <w:szCs w:val="15"/>
        </w:rPr>
        <w:t xml:space="preserve">. </w:t>
      </w:r>
      <w:proofErr w:type="spellStart"/>
      <w:r w:rsidRPr="00BC560D">
        <w:rPr>
          <w:rFonts w:ascii="Times New Roman" w:eastAsia="AdvGulliv-R" w:hAnsi="Times New Roman" w:cs="Times New Roman"/>
          <w:color w:val="000000" w:themeColor="text1"/>
          <w:kern w:val="0"/>
          <w:sz w:val="15"/>
          <w:szCs w:val="15"/>
        </w:rPr>
        <w:t>Biophys</w:t>
      </w:r>
      <w:proofErr w:type="spellEnd"/>
      <w:r w:rsidRPr="00BC560D">
        <w:rPr>
          <w:rFonts w:ascii="Times New Roman" w:eastAsia="AdvGulliv-R" w:hAnsi="Times New Roman" w:cs="Times New Roman"/>
          <w:color w:val="000000" w:themeColor="text1"/>
          <w:kern w:val="0"/>
          <w:sz w:val="15"/>
          <w:szCs w:val="15"/>
        </w:rPr>
        <w:t xml:space="preserve">. </w:t>
      </w:r>
      <w:proofErr w:type="spellStart"/>
      <w:r w:rsidRPr="00BC560D">
        <w:rPr>
          <w:rFonts w:ascii="Times New Roman" w:eastAsia="AdvGulliv-R" w:hAnsi="Times New Roman" w:cs="Times New Roman"/>
          <w:color w:val="000000" w:themeColor="text1"/>
          <w:kern w:val="0"/>
          <w:sz w:val="15"/>
          <w:szCs w:val="15"/>
        </w:rPr>
        <w:t>Acta</w:t>
      </w:r>
      <w:proofErr w:type="spellEnd"/>
      <w:r w:rsidRPr="00BC560D">
        <w:rPr>
          <w:rFonts w:ascii="Times New Roman" w:eastAsia="AdvGulliv-R" w:hAnsi="Times New Roman" w:cs="Times New Roman"/>
          <w:color w:val="000000" w:themeColor="text1"/>
          <w:kern w:val="0"/>
          <w:sz w:val="15"/>
          <w:szCs w:val="15"/>
        </w:rPr>
        <w:t xml:space="preserve"> 1577 (2002)</w:t>
      </w:r>
      <w:r w:rsidRPr="00BC560D">
        <w:rPr>
          <w:rFonts w:ascii="Times New Roman" w:eastAsia="AdvGulliv-R" w:hAnsi="Times New Roman" w:cs="Times New Roman" w:hint="eastAsia"/>
          <w:color w:val="000000" w:themeColor="text1"/>
          <w:kern w:val="0"/>
          <w:sz w:val="15"/>
          <w:szCs w:val="15"/>
        </w:rPr>
        <w:t xml:space="preserve"> </w:t>
      </w:r>
      <w:r w:rsidR="002E6A81" w:rsidRPr="00BC560D">
        <w:rPr>
          <w:rFonts w:ascii="Times New Roman" w:eastAsia="AdvGulliv-R" w:hAnsi="Times New Roman" w:cs="Times New Roman"/>
          <w:color w:val="000000" w:themeColor="text1"/>
          <w:kern w:val="0"/>
          <w:sz w:val="15"/>
          <w:szCs w:val="15"/>
        </w:rPr>
        <w:t>1–9.</w:t>
      </w:r>
    </w:p>
    <w:p w:rsidR="003E6219" w:rsidRPr="00BC560D" w:rsidRDefault="003E6219" w:rsidP="00CF57DE">
      <w:pPr>
        <w:autoSpaceDE w:val="0"/>
        <w:autoSpaceDN w:val="0"/>
        <w:adjustRightInd w:val="0"/>
        <w:spacing w:line="360" w:lineRule="auto"/>
        <w:rPr>
          <w:rFonts w:ascii="Times New Roman" w:eastAsia="AdvGulliv-R" w:hAnsi="Times New Roman" w:cs="Times New Roman"/>
          <w:color w:val="000000" w:themeColor="text1"/>
          <w:kern w:val="0"/>
          <w:sz w:val="15"/>
          <w:szCs w:val="15"/>
        </w:rPr>
      </w:pPr>
      <w:r w:rsidRPr="00BC560D">
        <w:rPr>
          <w:rFonts w:ascii="Times New Roman" w:eastAsia="AdvGulliv-R" w:hAnsi="Times New Roman" w:cs="Times New Roman"/>
          <w:color w:val="000000" w:themeColor="text1"/>
          <w:kern w:val="0"/>
          <w:sz w:val="15"/>
          <w:szCs w:val="15"/>
        </w:rPr>
        <w:t>[16] W</w:t>
      </w:r>
      <w:r w:rsidR="005966DE" w:rsidRPr="00BC560D">
        <w:rPr>
          <w:rFonts w:ascii="Times New Roman" w:eastAsia="AdvGulliv-R" w:hAnsi="Times New Roman" w:cs="Times New Roman"/>
          <w:color w:val="000000" w:themeColor="text1"/>
          <w:kern w:val="0"/>
          <w:sz w:val="15"/>
          <w:szCs w:val="15"/>
        </w:rPr>
        <w:t xml:space="preserve">. Wang, B. </w:t>
      </w:r>
      <w:proofErr w:type="spellStart"/>
      <w:r w:rsidR="005966DE" w:rsidRPr="00BC560D">
        <w:rPr>
          <w:rFonts w:ascii="Times New Roman" w:eastAsia="AdvGulliv-R" w:hAnsi="Times New Roman" w:cs="Times New Roman"/>
          <w:color w:val="000000" w:themeColor="text1"/>
          <w:kern w:val="0"/>
          <w:sz w:val="15"/>
          <w:szCs w:val="15"/>
        </w:rPr>
        <w:t>Vinocur</w:t>
      </w:r>
      <w:proofErr w:type="spellEnd"/>
      <w:r w:rsidR="005966DE" w:rsidRPr="00BC560D">
        <w:rPr>
          <w:rFonts w:ascii="Times New Roman" w:eastAsia="AdvGulliv-R" w:hAnsi="Times New Roman" w:cs="Times New Roman"/>
          <w:color w:val="000000" w:themeColor="text1"/>
          <w:kern w:val="0"/>
          <w:sz w:val="15"/>
          <w:szCs w:val="15"/>
        </w:rPr>
        <w:t xml:space="preserve">, O. </w:t>
      </w:r>
      <w:proofErr w:type="spellStart"/>
      <w:r w:rsidR="005966DE" w:rsidRPr="00BC560D">
        <w:rPr>
          <w:rFonts w:ascii="Times New Roman" w:eastAsia="AdvGulliv-R" w:hAnsi="Times New Roman" w:cs="Times New Roman"/>
          <w:color w:val="000000" w:themeColor="text1"/>
          <w:kern w:val="0"/>
          <w:sz w:val="15"/>
          <w:szCs w:val="15"/>
        </w:rPr>
        <w:t>Shoseyov</w:t>
      </w:r>
      <w:proofErr w:type="spellEnd"/>
      <w:r w:rsidR="005966DE" w:rsidRPr="00BC560D">
        <w:rPr>
          <w:rFonts w:ascii="Times New Roman" w:eastAsia="AdvGulliv-R" w:hAnsi="Times New Roman" w:cs="Times New Roman"/>
          <w:color w:val="000000" w:themeColor="text1"/>
          <w:kern w:val="0"/>
          <w:sz w:val="15"/>
          <w:szCs w:val="15"/>
        </w:rPr>
        <w:t xml:space="preserve">, </w:t>
      </w:r>
      <w:r w:rsidRPr="00BC560D">
        <w:rPr>
          <w:rFonts w:ascii="Times New Roman" w:eastAsia="宋体" w:hAnsi="Times New Roman" w:cs="Times New Roman"/>
          <w:bCs/>
          <w:color w:val="000000" w:themeColor="text1"/>
          <w:kern w:val="0"/>
          <w:sz w:val="15"/>
          <w:szCs w:val="15"/>
        </w:rPr>
        <w:t>Role of plant heat-shock proteins and molecular chaperones in the abiotic stress response</w:t>
      </w:r>
      <w:r w:rsidRPr="00BC560D">
        <w:rPr>
          <w:rFonts w:ascii="Times New Roman" w:eastAsia="AdvGulliv-R" w:hAnsi="Times New Roman" w:cs="Times New Roman" w:hint="eastAsia"/>
          <w:color w:val="000000" w:themeColor="text1"/>
          <w:kern w:val="0"/>
          <w:sz w:val="15"/>
          <w:szCs w:val="15"/>
        </w:rPr>
        <w:t xml:space="preserve"> </w:t>
      </w:r>
      <w:r w:rsidRPr="00BC560D">
        <w:rPr>
          <w:rFonts w:ascii="Times New Roman" w:eastAsia="AdvGulliv-R" w:hAnsi="Times New Roman" w:cs="Times New Roman"/>
          <w:color w:val="000000" w:themeColor="text1"/>
          <w:kern w:val="0"/>
          <w:sz w:val="15"/>
          <w:szCs w:val="15"/>
        </w:rPr>
        <w:t>A. Altman, Trends Plant Sci. 9 (2004) 244–252.</w:t>
      </w:r>
    </w:p>
    <w:p w:rsidR="003E6219" w:rsidRPr="00BC560D" w:rsidRDefault="003E6219" w:rsidP="00CF57DE">
      <w:pPr>
        <w:autoSpaceDE w:val="0"/>
        <w:autoSpaceDN w:val="0"/>
        <w:adjustRightInd w:val="0"/>
        <w:spacing w:line="360" w:lineRule="auto"/>
        <w:rPr>
          <w:rFonts w:ascii="Times New Roman" w:eastAsia="AdvGulliv-R" w:hAnsi="Times New Roman" w:cs="Times New Roman"/>
          <w:color w:val="000000" w:themeColor="text1"/>
          <w:kern w:val="0"/>
          <w:sz w:val="15"/>
          <w:szCs w:val="15"/>
        </w:rPr>
      </w:pPr>
      <w:r w:rsidRPr="00BC560D">
        <w:rPr>
          <w:rFonts w:ascii="Times New Roman" w:eastAsia="AdvGulliv-R" w:hAnsi="Times New Roman" w:cs="Times New Roman"/>
          <w:color w:val="000000" w:themeColor="text1"/>
          <w:kern w:val="0"/>
          <w:sz w:val="15"/>
          <w:szCs w:val="15"/>
        </w:rPr>
        <w:lastRenderedPageBreak/>
        <w:t>[17] ú. Flores-Perez, P. Jarvis,</w:t>
      </w:r>
      <w:r w:rsidR="005966DE" w:rsidRPr="00BC560D">
        <w:rPr>
          <w:rFonts w:ascii="Times New Roman" w:eastAsia="AdvGulliv-R" w:hAnsi="Times New Roman" w:cs="Times New Roman"/>
          <w:color w:val="000000" w:themeColor="text1"/>
          <w:kern w:val="0"/>
          <w:sz w:val="15"/>
          <w:szCs w:val="15"/>
        </w:rPr>
        <w:t xml:space="preserve"> Molecular chaperone involvement in chloroplast protein import.</w:t>
      </w:r>
      <w:r w:rsidRPr="00BC560D">
        <w:rPr>
          <w:rFonts w:ascii="Times New Roman" w:eastAsia="AdvGulliv-R" w:hAnsi="Times New Roman" w:cs="Times New Roman"/>
          <w:color w:val="000000" w:themeColor="text1"/>
          <w:kern w:val="0"/>
          <w:sz w:val="15"/>
          <w:szCs w:val="15"/>
        </w:rPr>
        <w:t xml:space="preserve"> </w:t>
      </w:r>
      <w:proofErr w:type="spellStart"/>
      <w:r w:rsidRPr="00BC560D">
        <w:rPr>
          <w:rFonts w:ascii="Times New Roman" w:eastAsia="AdvGulliv-R" w:hAnsi="Times New Roman" w:cs="Times New Roman"/>
          <w:color w:val="000000" w:themeColor="text1"/>
          <w:kern w:val="0"/>
          <w:sz w:val="15"/>
          <w:szCs w:val="15"/>
        </w:rPr>
        <w:t>Biochim</w:t>
      </w:r>
      <w:proofErr w:type="spellEnd"/>
      <w:r w:rsidRPr="00BC560D">
        <w:rPr>
          <w:rFonts w:ascii="Times New Roman" w:eastAsia="AdvGulliv-R" w:hAnsi="Times New Roman" w:cs="Times New Roman"/>
          <w:color w:val="000000" w:themeColor="text1"/>
          <w:kern w:val="0"/>
          <w:sz w:val="15"/>
          <w:szCs w:val="15"/>
        </w:rPr>
        <w:t xml:space="preserve">. </w:t>
      </w:r>
      <w:proofErr w:type="spellStart"/>
      <w:r w:rsidRPr="00BC560D">
        <w:rPr>
          <w:rFonts w:ascii="Times New Roman" w:eastAsia="AdvGulliv-R" w:hAnsi="Times New Roman" w:cs="Times New Roman"/>
          <w:color w:val="000000" w:themeColor="text1"/>
          <w:kern w:val="0"/>
          <w:sz w:val="15"/>
          <w:szCs w:val="15"/>
        </w:rPr>
        <w:t>Biophys</w:t>
      </w:r>
      <w:proofErr w:type="spellEnd"/>
      <w:r w:rsidRPr="00BC560D">
        <w:rPr>
          <w:rFonts w:ascii="Times New Roman" w:eastAsia="AdvGulliv-R" w:hAnsi="Times New Roman" w:cs="Times New Roman"/>
          <w:color w:val="000000" w:themeColor="text1"/>
          <w:kern w:val="0"/>
          <w:sz w:val="15"/>
          <w:szCs w:val="15"/>
        </w:rPr>
        <w:t xml:space="preserve">. </w:t>
      </w:r>
      <w:proofErr w:type="spellStart"/>
      <w:r w:rsidRPr="00BC560D">
        <w:rPr>
          <w:rFonts w:ascii="Times New Roman" w:eastAsia="AdvGulliv-R" w:hAnsi="Times New Roman" w:cs="Times New Roman"/>
          <w:color w:val="000000" w:themeColor="text1"/>
          <w:kern w:val="0"/>
          <w:sz w:val="15"/>
          <w:szCs w:val="15"/>
        </w:rPr>
        <w:t>Acta</w:t>
      </w:r>
      <w:proofErr w:type="spellEnd"/>
      <w:r w:rsidRPr="00BC560D">
        <w:rPr>
          <w:rFonts w:ascii="Times New Roman" w:eastAsia="AdvGulliv-R" w:hAnsi="Times New Roman" w:cs="Times New Roman"/>
          <w:color w:val="000000" w:themeColor="text1"/>
          <w:kern w:val="0"/>
          <w:sz w:val="15"/>
          <w:szCs w:val="15"/>
        </w:rPr>
        <w:t xml:space="preserve"> Mol. Cell Res. 1833 (2013)</w:t>
      </w:r>
      <w:r w:rsidRPr="00BC560D">
        <w:rPr>
          <w:rFonts w:ascii="Times New Roman" w:eastAsia="AdvGulliv-R" w:hAnsi="Times New Roman" w:cs="Times New Roman" w:hint="eastAsia"/>
          <w:color w:val="000000" w:themeColor="text1"/>
          <w:kern w:val="0"/>
          <w:sz w:val="15"/>
          <w:szCs w:val="15"/>
        </w:rPr>
        <w:t xml:space="preserve"> </w:t>
      </w:r>
      <w:r w:rsidRPr="00BC560D">
        <w:rPr>
          <w:rFonts w:ascii="Times New Roman" w:eastAsia="AdvGulliv-R" w:hAnsi="Times New Roman" w:cs="Times New Roman"/>
          <w:color w:val="000000" w:themeColor="text1"/>
          <w:kern w:val="0"/>
          <w:sz w:val="15"/>
          <w:szCs w:val="15"/>
        </w:rPr>
        <w:t>332–340.</w:t>
      </w:r>
    </w:p>
    <w:p w:rsidR="003E6219" w:rsidRPr="00BC560D" w:rsidRDefault="003E6219" w:rsidP="00CF57DE">
      <w:pPr>
        <w:autoSpaceDE w:val="0"/>
        <w:autoSpaceDN w:val="0"/>
        <w:adjustRightInd w:val="0"/>
        <w:spacing w:line="360" w:lineRule="auto"/>
        <w:rPr>
          <w:rFonts w:ascii="Times New Roman" w:eastAsia="AdvGulliv-R" w:hAnsi="Times New Roman" w:cs="Times New Roman"/>
          <w:color w:val="000000" w:themeColor="text1"/>
          <w:kern w:val="0"/>
          <w:sz w:val="15"/>
          <w:szCs w:val="15"/>
        </w:rPr>
      </w:pPr>
      <w:r w:rsidRPr="00BC560D">
        <w:rPr>
          <w:rFonts w:ascii="Times New Roman" w:eastAsia="AdvGulliv-R" w:hAnsi="Times New Roman" w:cs="Times New Roman"/>
          <w:color w:val="000000" w:themeColor="text1"/>
          <w:kern w:val="0"/>
          <w:sz w:val="15"/>
          <w:szCs w:val="15"/>
        </w:rPr>
        <w:t xml:space="preserve">[18] R. </w:t>
      </w:r>
      <w:proofErr w:type="spellStart"/>
      <w:r w:rsidRPr="00BC560D">
        <w:rPr>
          <w:rFonts w:ascii="Times New Roman" w:eastAsia="AdvGulliv-R" w:hAnsi="Times New Roman" w:cs="Times New Roman"/>
          <w:color w:val="000000" w:themeColor="text1"/>
          <w:kern w:val="0"/>
          <w:sz w:val="15"/>
          <w:szCs w:val="15"/>
        </w:rPr>
        <w:t>Mittler</w:t>
      </w:r>
      <w:proofErr w:type="spellEnd"/>
      <w:r w:rsidRPr="00BC560D">
        <w:rPr>
          <w:rFonts w:ascii="Times New Roman" w:eastAsia="AdvGulliv-R" w:hAnsi="Times New Roman" w:cs="Times New Roman"/>
          <w:color w:val="000000" w:themeColor="text1"/>
          <w:kern w:val="0"/>
          <w:sz w:val="15"/>
          <w:szCs w:val="15"/>
        </w:rPr>
        <w:t xml:space="preserve">, S. </w:t>
      </w:r>
      <w:proofErr w:type="spellStart"/>
      <w:r w:rsidRPr="00BC560D">
        <w:rPr>
          <w:rFonts w:ascii="Times New Roman" w:eastAsia="AdvGulliv-R" w:hAnsi="Times New Roman" w:cs="Times New Roman"/>
          <w:color w:val="000000" w:themeColor="text1"/>
          <w:kern w:val="0"/>
          <w:sz w:val="15"/>
          <w:szCs w:val="15"/>
        </w:rPr>
        <w:t>Vanderauwera</w:t>
      </w:r>
      <w:proofErr w:type="spellEnd"/>
      <w:r w:rsidRPr="00BC560D">
        <w:rPr>
          <w:rFonts w:ascii="Times New Roman" w:eastAsia="AdvGulliv-R" w:hAnsi="Times New Roman" w:cs="Times New Roman"/>
          <w:color w:val="000000" w:themeColor="text1"/>
          <w:kern w:val="0"/>
          <w:sz w:val="15"/>
          <w:szCs w:val="15"/>
        </w:rPr>
        <w:t xml:space="preserve">, N. Suzuki, G. Miller, V.B. </w:t>
      </w:r>
      <w:proofErr w:type="spellStart"/>
      <w:r w:rsidRPr="00BC560D">
        <w:rPr>
          <w:rFonts w:ascii="Times New Roman" w:eastAsia="AdvGulliv-R" w:hAnsi="Times New Roman" w:cs="Times New Roman"/>
          <w:color w:val="000000" w:themeColor="text1"/>
          <w:kern w:val="0"/>
          <w:sz w:val="15"/>
          <w:szCs w:val="15"/>
        </w:rPr>
        <w:t>Tognetti</w:t>
      </w:r>
      <w:proofErr w:type="spellEnd"/>
      <w:r w:rsidRPr="00BC560D">
        <w:rPr>
          <w:rFonts w:ascii="Times New Roman" w:eastAsia="AdvGulliv-R" w:hAnsi="Times New Roman" w:cs="Times New Roman"/>
          <w:color w:val="000000" w:themeColor="text1"/>
          <w:kern w:val="0"/>
          <w:sz w:val="15"/>
          <w:szCs w:val="15"/>
        </w:rPr>
        <w:t xml:space="preserve">, K. </w:t>
      </w:r>
      <w:proofErr w:type="spellStart"/>
      <w:r w:rsidRPr="00BC560D">
        <w:rPr>
          <w:rFonts w:ascii="Times New Roman" w:eastAsia="AdvGulliv-R" w:hAnsi="Times New Roman" w:cs="Times New Roman"/>
          <w:color w:val="000000" w:themeColor="text1"/>
          <w:kern w:val="0"/>
          <w:sz w:val="15"/>
          <w:szCs w:val="15"/>
        </w:rPr>
        <w:t>Vandepoele</w:t>
      </w:r>
      <w:proofErr w:type="spellEnd"/>
      <w:r w:rsidRPr="00BC560D">
        <w:rPr>
          <w:rFonts w:ascii="Times New Roman" w:eastAsia="AdvGulliv-R" w:hAnsi="Times New Roman" w:cs="Times New Roman"/>
          <w:color w:val="000000" w:themeColor="text1"/>
          <w:kern w:val="0"/>
          <w:sz w:val="15"/>
          <w:szCs w:val="15"/>
        </w:rPr>
        <w:t>,</w:t>
      </w:r>
      <w:r w:rsidRPr="00BC560D">
        <w:rPr>
          <w:rFonts w:ascii="Times New Roman" w:eastAsia="AdvGulliv-R" w:hAnsi="Times New Roman" w:cs="Times New Roman" w:hint="eastAsia"/>
          <w:color w:val="000000" w:themeColor="text1"/>
          <w:kern w:val="0"/>
          <w:sz w:val="15"/>
          <w:szCs w:val="15"/>
        </w:rPr>
        <w:t xml:space="preserve"> </w:t>
      </w:r>
      <w:r w:rsidRPr="00BC560D">
        <w:rPr>
          <w:rFonts w:ascii="Times New Roman" w:eastAsia="AdvGulliv-R" w:hAnsi="Times New Roman" w:cs="Times New Roman"/>
          <w:color w:val="000000" w:themeColor="text1"/>
          <w:kern w:val="0"/>
          <w:sz w:val="15"/>
          <w:szCs w:val="15"/>
        </w:rPr>
        <w:t xml:space="preserve">M. </w:t>
      </w:r>
      <w:proofErr w:type="spellStart"/>
      <w:r w:rsidRPr="00BC560D">
        <w:rPr>
          <w:rFonts w:ascii="Times New Roman" w:eastAsia="AdvGulliv-R" w:hAnsi="Times New Roman" w:cs="Times New Roman"/>
          <w:color w:val="000000" w:themeColor="text1"/>
          <w:kern w:val="0"/>
          <w:sz w:val="15"/>
          <w:szCs w:val="15"/>
        </w:rPr>
        <w:t>Gollery</w:t>
      </w:r>
      <w:proofErr w:type="spellEnd"/>
      <w:r w:rsidRPr="00BC560D">
        <w:rPr>
          <w:rFonts w:ascii="Times New Roman" w:eastAsia="AdvGulliv-R" w:hAnsi="Times New Roman" w:cs="Times New Roman"/>
          <w:color w:val="000000" w:themeColor="text1"/>
          <w:kern w:val="0"/>
          <w:sz w:val="15"/>
          <w:szCs w:val="15"/>
        </w:rPr>
        <w:t xml:space="preserve">, V. </w:t>
      </w:r>
      <w:proofErr w:type="spellStart"/>
      <w:r w:rsidRPr="00BC560D">
        <w:rPr>
          <w:rFonts w:ascii="Times New Roman" w:eastAsia="AdvGulliv-R" w:hAnsi="Times New Roman" w:cs="Times New Roman"/>
          <w:color w:val="000000" w:themeColor="text1"/>
          <w:kern w:val="0"/>
          <w:sz w:val="15"/>
          <w:szCs w:val="15"/>
        </w:rPr>
        <w:t>Shulaev</w:t>
      </w:r>
      <w:proofErr w:type="spellEnd"/>
      <w:r w:rsidRPr="00BC560D">
        <w:rPr>
          <w:rFonts w:ascii="Times New Roman" w:eastAsia="AdvGulliv-R" w:hAnsi="Times New Roman" w:cs="Times New Roman"/>
          <w:color w:val="000000" w:themeColor="text1"/>
          <w:kern w:val="0"/>
          <w:sz w:val="15"/>
          <w:szCs w:val="15"/>
        </w:rPr>
        <w:t>, B.F. Van,</w:t>
      </w:r>
      <w:r w:rsidR="005966DE" w:rsidRPr="00BC560D">
        <w:rPr>
          <w:rFonts w:ascii="Times New Roman" w:eastAsia="AdvGulliv-R" w:hAnsi="Times New Roman" w:cs="Times New Roman"/>
          <w:color w:val="000000" w:themeColor="text1"/>
          <w:kern w:val="0"/>
          <w:sz w:val="15"/>
          <w:szCs w:val="15"/>
        </w:rPr>
        <w:t xml:space="preserve"> ROS signaling: The new wave?</w:t>
      </w:r>
      <w:r w:rsidRPr="00BC560D">
        <w:rPr>
          <w:rFonts w:ascii="Times New Roman" w:eastAsia="AdvGulliv-R" w:hAnsi="Times New Roman" w:cs="Times New Roman"/>
          <w:color w:val="000000" w:themeColor="text1"/>
          <w:kern w:val="0"/>
          <w:sz w:val="15"/>
          <w:szCs w:val="15"/>
        </w:rPr>
        <w:t xml:space="preserve"> Trends Plant Sci. 16 (2011) 300–309.</w:t>
      </w:r>
    </w:p>
    <w:p w:rsidR="003E6219" w:rsidRPr="00BC560D" w:rsidRDefault="003E6219"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AdvGulliv-R" w:hAnsi="Times New Roman" w:cs="Times New Roman"/>
          <w:color w:val="000000" w:themeColor="text1"/>
          <w:kern w:val="0"/>
          <w:sz w:val="15"/>
          <w:szCs w:val="15"/>
        </w:rPr>
        <w:t xml:space="preserve">[19] F. </w:t>
      </w:r>
      <w:proofErr w:type="spellStart"/>
      <w:r w:rsidRPr="00BC560D">
        <w:rPr>
          <w:rFonts w:ascii="Times New Roman" w:eastAsia="AdvGulliv-R" w:hAnsi="Times New Roman" w:cs="Times New Roman"/>
          <w:color w:val="000000" w:themeColor="text1"/>
          <w:kern w:val="0"/>
          <w:sz w:val="15"/>
          <w:szCs w:val="15"/>
        </w:rPr>
        <w:t>Bouvier</w:t>
      </w:r>
      <w:proofErr w:type="spellEnd"/>
      <w:r w:rsidRPr="00BC560D">
        <w:rPr>
          <w:rFonts w:ascii="Times New Roman" w:eastAsia="AdvGulliv-R" w:hAnsi="Times New Roman" w:cs="Times New Roman"/>
          <w:color w:val="000000" w:themeColor="text1"/>
          <w:kern w:val="0"/>
          <w:sz w:val="15"/>
          <w:szCs w:val="15"/>
        </w:rPr>
        <w:t xml:space="preserve">, R.A. Backhaus, B. </w:t>
      </w:r>
      <w:proofErr w:type="spellStart"/>
      <w:r w:rsidRPr="00BC560D">
        <w:rPr>
          <w:rFonts w:ascii="Times New Roman" w:eastAsia="AdvGulliv-R" w:hAnsi="Times New Roman" w:cs="Times New Roman"/>
          <w:color w:val="000000" w:themeColor="text1"/>
          <w:kern w:val="0"/>
          <w:sz w:val="15"/>
          <w:szCs w:val="15"/>
        </w:rPr>
        <w:t>Camara</w:t>
      </w:r>
      <w:proofErr w:type="spellEnd"/>
      <w:r w:rsidRPr="00BC560D">
        <w:rPr>
          <w:rFonts w:ascii="Times New Roman" w:eastAsia="AdvGulliv-R" w:hAnsi="Times New Roman" w:cs="Times New Roman"/>
          <w:color w:val="000000" w:themeColor="text1"/>
          <w:kern w:val="0"/>
          <w:sz w:val="15"/>
          <w:szCs w:val="15"/>
        </w:rPr>
        <w:t xml:space="preserve">, </w:t>
      </w:r>
      <w:r w:rsidR="005966DE" w:rsidRPr="00BC560D">
        <w:rPr>
          <w:rFonts w:ascii="Times New Roman" w:eastAsia="宋体" w:hAnsi="Times New Roman" w:cs="Times New Roman"/>
          <w:color w:val="000000" w:themeColor="text1"/>
          <w:kern w:val="0"/>
          <w:sz w:val="15"/>
          <w:szCs w:val="15"/>
        </w:rPr>
        <w:t xml:space="preserve">Induction and control of </w:t>
      </w:r>
      <w:proofErr w:type="spellStart"/>
      <w:r w:rsidR="005966DE" w:rsidRPr="00BC560D">
        <w:rPr>
          <w:rFonts w:ascii="Times New Roman" w:eastAsia="宋体" w:hAnsi="Times New Roman" w:cs="Times New Roman"/>
          <w:color w:val="000000" w:themeColor="text1"/>
          <w:kern w:val="0"/>
          <w:sz w:val="15"/>
          <w:szCs w:val="15"/>
        </w:rPr>
        <w:t>chromoplast</w:t>
      </w:r>
      <w:proofErr w:type="spellEnd"/>
      <w:r w:rsidR="005966DE" w:rsidRPr="00BC560D">
        <w:rPr>
          <w:rFonts w:ascii="Times New Roman" w:eastAsia="宋体" w:hAnsi="Times New Roman" w:cs="Times New Roman"/>
          <w:color w:val="000000" w:themeColor="text1"/>
          <w:kern w:val="0"/>
          <w:sz w:val="15"/>
          <w:szCs w:val="15"/>
        </w:rPr>
        <w:t>-specific carotenoid genes by oxidative stress</w:t>
      </w:r>
      <w:r w:rsidR="00786863" w:rsidRPr="00BC560D">
        <w:rPr>
          <w:rFonts w:ascii="Times New Roman" w:eastAsia="宋体" w:hAnsi="Times New Roman" w:cs="Times New Roman"/>
          <w:color w:val="000000" w:themeColor="text1"/>
          <w:kern w:val="0"/>
          <w:sz w:val="15"/>
          <w:szCs w:val="15"/>
        </w:rPr>
        <w:t>.</w:t>
      </w:r>
      <w:r w:rsidR="005966DE"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AdvGulliv-R" w:hAnsi="Times New Roman" w:cs="Times New Roman"/>
          <w:color w:val="000000" w:themeColor="text1"/>
          <w:kern w:val="0"/>
          <w:sz w:val="15"/>
          <w:szCs w:val="15"/>
        </w:rPr>
        <w:t>J. Biol. Chem. 273 (1998) 30651–30659.</w:t>
      </w:r>
    </w:p>
    <w:p w:rsidR="003E6219" w:rsidRPr="00BC560D" w:rsidRDefault="003E6219" w:rsidP="00CF57DE">
      <w:pPr>
        <w:autoSpaceDE w:val="0"/>
        <w:autoSpaceDN w:val="0"/>
        <w:adjustRightInd w:val="0"/>
        <w:spacing w:line="360" w:lineRule="auto"/>
        <w:rPr>
          <w:rFonts w:ascii="Times New Roman" w:eastAsia="AdvGulliv-R" w:hAnsi="Times New Roman" w:cs="Times New Roman"/>
          <w:color w:val="000000" w:themeColor="text1"/>
          <w:kern w:val="0"/>
          <w:sz w:val="15"/>
          <w:szCs w:val="15"/>
        </w:rPr>
      </w:pPr>
      <w:r w:rsidRPr="00BC560D">
        <w:rPr>
          <w:rFonts w:ascii="Times New Roman" w:eastAsia="AdvGulliv-R" w:hAnsi="Times New Roman" w:cs="Times New Roman"/>
          <w:color w:val="000000" w:themeColor="text1"/>
          <w:kern w:val="0"/>
          <w:sz w:val="15"/>
          <w:szCs w:val="15"/>
        </w:rPr>
        <w:t>[20] G. Galvez-</w:t>
      </w:r>
      <w:proofErr w:type="spellStart"/>
      <w:r w:rsidRPr="00BC560D">
        <w:rPr>
          <w:rFonts w:ascii="Times New Roman" w:eastAsia="AdvGulliv-R" w:hAnsi="Times New Roman" w:cs="Times New Roman"/>
          <w:color w:val="000000" w:themeColor="text1"/>
          <w:kern w:val="0"/>
          <w:sz w:val="15"/>
          <w:szCs w:val="15"/>
        </w:rPr>
        <w:t>Valdivieso</w:t>
      </w:r>
      <w:proofErr w:type="spellEnd"/>
      <w:r w:rsidRPr="00BC560D">
        <w:rPr>
          <w:rFonts w:ascii="Times New Roman" w:eastAsia="AdvGulliv-R" w:hAnsi="Times New Roman" w:cs="Times New Roman"/>
          <w:color w:val="000000" w:themeColor="text1"/>
          <w:kern w:val="0"/>
          <w:sz w:val="15"/>
          <w:szCs w:val="15"/>
        </w:rPr>
        <w:t xml:space="preserve">, P.M. </w:t>
      </w:r>
      <w:proofErr w:type="spellStart"/>
      <w:r w:rsidRPr="00BC560D">
        <w:rPr>
          <w:rFonts w:ascii="Times New Roman" w:eastAsia="AdvGulliv-R" w:hAnsi="Times New Roman" w:cs="Times New Roman"/>
          <w:color w:val="000000" w:themeColor="text1"/>
          <w:kern w:val="0"/>
          <w:sz w:val="15"/>
          <w:szCs w:val="15"/>
        </w:rPr>
        <w:t>Mullineaux</w:t>
      </w:r>
      <w:proofErr w:type="spellEnd"/>
      <w:r w:rsidRPr="00BC560D">
        <w:rPr>
          <w:rFonts w:ascii="Times New Roman" w:eastAsia="AdvGulliv-R" w:hAnsi="Times New Roman" w:cs="Times New Roman"/>
          <w:color w:val="000000" w:themeColor="text1"/>
          <w:kern w:val="0"/>
          <w:sz w:val="15"/>
          <w:szCs w:val="15"/>
        </w:rPr>
        <w:t>,</w:t>
      </w:r>
      <w:r w:rsidR="00786863" w:rsidRPr="00BC560D">
        <w:rPr>
          <w:color w:val="000000" w:themeColor="text1"/>
          <w:sz w:val="15"/>
          <w:szCs w:val="15"/>
        </w:rPr>
        <w:t xml:space="preserve"> </w:t>
      </w:r>
      <w:r w:rsidR="00786863" w:rsidRPr="00BC560D">
        <w:rPr>
          <w:rFonts w:ascii="Times New Roman" w:eastAsia="AdvGulliv-R" w:hAnsi="Times New Roman" w:cs="Times New Roman"/>
          <w:color w:val="000000" w:themeColor="text1"/>
          <w:kern w:val="0"/>
          <w:sz w:val="15"/>
          <w:szCs w:val="15"/>
        </w:rPr>
        <w:t xml:space="preserve">The role of reactive oxygen species in </w:t>
      </w:r>
      <w:proofErr w:type="spellStart"/>
      <w:r w:rsidR="00786863" w:rsidRPr="00BC560D">
        <w:rPr>
          <w:rFonts w:ascii="Times New Roman" w:eastAsia="AdvGulliv-R" w:hAnsi="Times New Roman" w:cs="Times New Roman"/>
          <w:color w:val="000000" w:themeColor="text1"/>
          <w:kern w:val="0"/>
          <w:sz w:val="15"/>
          <w:szCs w:val="15"/>
        </w:rPr>
        <w:t>signalling</w:t>
      </w:r>
      <w:proofErr w:type="spellEnd"/>
      <w:r w:rsidR="00786863" w:rsidRPr="00BC560D">
        <w:rPr>
          <w:rFonts w:ascii="Times New Roman" w:eastAsia="AdvGulliv-R" w:hAnsi="Times New Roman" w:cs="Times New Roman"/>
          <w:color w:val="000000" w:themeColor="text1"/>
          <w:kern w:val="0"/>
          <w:sz w:val="15"/>
          <w:szCs w:val="15"/>
        </w:rPr>
        <w:t xml:space="preserve"> from chloroplasts to the nucleus.</w:t>
      </w:r>
      <w:r w:rsidRPr="00BC560D">
        <w:rPr>
          <w:rFonts w:ascii="Times New Roman" w:eastAsia="AdvGulliv-R" w:hAnsi="Times New Roman" w:cs="Times New Roman"/>
          <w:color w:val="000000" w:themeColor="text1"/>
          <w:kern w:val="0"/>
          <w:sz w:val="15"/>
          <w:szCs w:val="15"/>
        </w:rPr>
        <w:t xml:space="preserve"> Physiol. </w:t>
      </w:r>
      <w:proofErr w:type="gramStart"/>
      <w:r w:rsidRPr="00BC560D">
        <w:rPr>
          <w:rFonts w:ascii="Times New Roman" w:eastAsia="AdvGulliv-R" w:hAnsi="Times New Roman" w:cs="Times New Roman"/>
          <w:color w:val="000000" w:themeColor="text1"/>
          <w:kern w:val="0"/>
          <w:sz w:val="15"/>
          <w:szCs w:val="15"/>
        </w:rPr>
        <w:t>Plant..</w:t>
      </w:r>
      <w:proofErr w:type="gramEnd"/>
      <w:r w:rsidRPr="00BC560D">
        <w:rPr>
          <w:rFonts w:ascii="Times New Roman" w:eastAsia="AdvGulliv-R" w:hAnsi="Times New Roman" w:cs="Times New Roman"/>
          <w:color w:val="000000" w:themeColor="text1"/>
          <w:kern w:val="0"/>
          <w:sz w:val="15"/>
          <w:szCs w:val="15"/>
        </w:rPr>
        <w:t xml:space="preserve"> 138 (2010) 430–439. </w:t>
      </w:r>
    </w:p>
    <w:p w:rsidR="00786863" w:rsidRPr="00BC560D" w:rsidRDefault="00786863" w:rsidP="00CF57DE">
      <w:pPr>
        <w:autoSpaceDE w:val="0"/>
        <w:autoSpaceDN w:val="0"/>
        <w:adjustRightInd w:val="0"/>
        <w:spacing w:line="360" w:lineRule="auto"/>
        <w:rPr>
          <w:rFonts w:ascii="Times New Roman" w:eastAsia="AdvGulliv-R" w:hAnsi="Times New Roman" w:cs="Times New Roman"/>
          <w:color w:val="000000" w:themeColor="text1"/>
          <w:kern w:val="0"/>
          <w:sz w:val="15"/>
          <w:szCs w:val="15"/>
        </w:rPr>
      </w:pPr>
      <w:r w:rsidRPr="00BC560D">
        <w:rPr>
          <w:rFonts w:ascii="Times New Roman" w:eastAsia="AdvGulliv-R" w:hAnsi="Times New Roman" w:cs="Times New Roman"/>
          <w:color w:val="000000" w:themeColor="text1"/>
          <w:kern w:val="0"/>
          <w:sz w:val="15"/>
          <w:szCs w:val="15"/>
        </w:rPr>
        <w:t xml:space="preserve">[21] </w:t>
      </w:r>
      <w:r w:rsidRPr="00BC560D">
        <w:rPr>
          <w:rFonts w:ascii="Times New Roman" w:eastAsia="宋体" w:hAnsi="Times New Roman" w:cs="Times New Roman"/>
          <w:color w:val="000000" w:themeColor="text1"/>
          <w:kern w:val="0"/>
          <w:sz w:val="15"/>
          <w:szCs w:val="15"/>
        </w:rPr>
        <w:t xml:space="preserve">Lucia </w:t>
      </w:r>
      <w:proofErr w:type="spellStart"/>
      <w:proofErr w:type="gramStart"/>
      <w:r w:rsidRPr="00BC560D">
        <w:rPr>
          <w:rFonts w:ascii="Times New Roman" w:eastAsia="宋体" w:hAnsi="Times New Roman" w:cs="Times New Roman"/>
          <w:color w:val="000000" w:themeColor="text1"/>
          <w:kern w:val="0"/>
          <w:sz w:val="15"/>
          <w:szCs w:val="15"/>
        </w:rPr>
        <w:t>M,Alcides</w:t>
      </w:r>
      <w:proofErr w:type="spellEnd"/>
      <w:proofErr w:type="gramEnd"/>
      <w:r w:rsidRPr="00BC560D">
        <w:rPr>
          <w:rFonts w:ascii="Times New Roman" w:eastAsia="宋体" w:hAnsi="Times New Roman" w:cs="Times New Roman"/>
          <w:color w:val="000000" w:themeColor="text1"/>
          <w:kern w:val="0"/>
          <w:sz w:val="15"/>
          <w:szCs w:val="15"/>
        </w:rPr>
        <w:t xml:space="preserve"> R, </w:t>
      </w:r>
      <w:proofErr w:type="spellStart"/>
      <w:r w:rsidRPr="00BC560D">
        <w:rPr>
          <w:rFonts w:ascii="Times New Roman" w:eastAsia="宋体" w:hAnsi="Times New Roman" w:cs="Times New Roman"/>
          <w:color w:val="000000" w:themeColor="text1"/>
          <w:kern w:val="0"/>
          <w:sz w:val="15"/>
          <w:szCs w:val="15"/>
        </w:rPr>
        <w:t>Ronoel</w:t>
      </w:r>
      <w:proofErr w:type="spellEnd"/>
      <w:r w:rsidRPr="00BC560D">
        <w:rPr>
          <w:rFonts w:ascii="Times New Roman" w:eastAsia="宋体" w:hAnsi="Times New Roman" w:cs="Times New Roman"/>
          <w:color w:val="000000" w:themeColor="text1"/>
          <w:kern w:val="0"/>
          <w:sz w:val="15"/>
          <w:szCs w:val="15"/>
        </w:rPr>
        <w:t xml:space="preserve"> L, et al. Retention of total carotenoid and β-carotene in yellow sweet cassava (</w:t>
      </w:r>
      <w:proofErr w:type="spellStart"/>
      <w:r w:rsidRPr="00BC560D">
        <w:rPr>
          <w:rFonts w:ascii="Times New Roman" w:eastAsia="宋体" w:hAnsi="Times New Roman" w:cs="Times New Roman"/>
          <w:i/>
          <w:color w:val="000000" w:themeColor="text1"/>
          <w:kern w:val="0"/>
          <w:sz w:val="15"/>
          <w:szCs w:val="15"/>
        </w:rPr>
        <w:t>Manihot</w:t>
      </w:r>
      <w:proofErr w:type="spellEnd"/>
      <w:r w:rsidRPr="00BC560D">
        <w:rPr>
          <w:rFonts w:ascii="Times New Roman" w:eastAsia="宋体" w:hAnsi="Times New Roman" w:cs="Times New Roman"/>
          <w:i/>
          <w:color w:val="000000" w:themeColor="text1"/>
          <w:kern w:val="0"/>
          <w:sz w:val="15"/>
          <w:szCs w:val="15"/>
        </w:rPr>
        <w:t xml:space="preserve"> </w:t>
      </w:r>
      <w:proofErr w:type="spellStart"/>
      <w:r w:rsidRPr="00BC560D">
        <w:rPr>
          <w:rFonts w:ascii="Times New Roman" w:eastAsia="宋体" w:hAnsi="Times New Roman" w:cs="Times New Roman"/>
          <w:i/>
          <w:color w:val="000000" w:themeColor="text1"/>
          <w:kern w:val="0"/>
          <w:sz w:val="15"/>
          <w:szCs w:val="15"/>
        </w:rPr>
        <w:t>esculenta</w:t>
      </w:r>
      <w:proofErr w:type="spellEnd"/>
      <w:r w:rsidRPr="00BC560D">
        <w:rPr>
          <w:rFonts w:ascii="Times New Roman" w:eastAsia="宋体" w:hAnsi="Times New Roman" w:cs="Times New Roman"/>
          <w:i/>
          <w:color w:val="000000" w:themeColor="text1"/>
          <w:kern w:val="0"/>
          <w:sz w:val="15"/>
          <w:szCs w:val="15"/>
        </w:rPr>
        <w:t xml:space="preserve"> </w:t>
      </w:r>
      <w:proofErr w:type="spellStart"/>
      <w:r w:rsidRPr="00BC560D">
        <w:rPr>
          <w:rFonts w:ascii="Times New Roman" w:eastAsia="宋体" w:hAnsi="Times New Roman" w:cs="Times New Roman"/>
          <w:i/>
          <w:color w:val="000000" w:themeColor="text1"/>
          <w:kern w:val="0"/>
          <w:sz w:val="15"/>
          <w:szCs w:val="15"/>
        </w:rPr>
        <w:t>Crantz</w:t>
      </w:r>
      <w:proofErr w:type="spellEnd"/>
      <w:r w:rsidRPr="00BC560D">
        <w:rPr>
          <w:rFonts w:ascii="Times New Roman" w:eastAsia="宋体" w:hAnsi="Times New Roman" w:cs="Times New Roman"/>
          <w:color w:val="000000" w:themeColor="text1"/>
          <w:kern w:val="0"/>
          <w:sz w:val="15"/>
          <w:szCs w:val="15"/>
        </w:rPr>
        <w:t>) after domestic cooking [J]. Food and Nutrition Research 2012, 56: 15788-DOI: 10.3042</w:t>
      </w:r>
    </w:p>
    <w:p w:rsidR="00076D1F" w:rsidRPr="00BC560D" w:rsidRDefault="00786863"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宋体" w:hAnsi="Times New Roman" w:cs="Times New Roman" w:hint="eastAsia"/>
          <w:color w:val="000000" w:themeColor="text1"/>
          <w:kern w:val="0"/>
          <w:sz w:val="15"/>
          <w:szCs w:val="15"/>
        </w:rPr>
        <w:t>[</w:t>
      </w:r>
      <w:r w:rsidRPr="00BC560D">
        <w:rPr>
          <w:rFonts w:ascii="Times New Roman" w:eastAsia="宋体" w:hAnsi="Times New Roman" w:cs="Times New Roman"/>
          <w:color w:val="000000" w:themeColor="text1"/>
          <w:kern w:val="0"/>
          <w:sz w:val="15"/>
          <w:szCs w:val="15"/>
        </w:rPr>
        <w:t xml:space="preserve">22] </w:t>
      </w:r>
      <w:proofErr w:type="spellStart"/>
      <w:r w:rsidRPr="00BC560D">
        <w:rPr>
          <w:rFonts w:ascii="Times New Roman" w:eastAsia="宋体" w:hAnsi="Times New Roman" w:cs="Times New Roman"/>
          <w:color w:val="000000" w:themeColor="text1"/>
          <w:kern w:val="0"/>
          <w:sz w:val="15"/>
          <w:szCs w:val="15"/>
        </w:rPr>
        <w:t>Camalho</w:t>
      </w:r>
      <w:proofErr w:type="spellEnd"/>
      <w:r w:rsidRPr="00BC560D">
        <w:rPr>
          <w:rFonts w:ascii="Times New Roman" w:eastAsia="宋体" w:hAnsi="Times New Roman" w:cs="Times New Roman"/>
          <w:color w:val="000000" w:themeColor="text1"/>
          <w:kern w:val="0"/>
          <w:sz w:val="15"/>
          <w:szCs w:val="15"/>
        </w:rPr>
        <w:t xml:space="preserve"> L J C B, </w:t>
      </w:r>
      <w:proofErr w:type="spellStart"/>
      <w:r w:rsidRPr="00BC560D">
        <w:rPr>
          <w:rFonts w:ascii="Times New Roman" w:eastAsia="宋体" w:hAnsi="Times New Roman" w:cs="Times New Roman"/>
          <w:color w:val="000000" w:themeColor="text1"/>
          <w:kern w:val="0"/>
          <w:sz w:val="15"/>
          <w:szCs w:val="15"/>
        </w:rPr>
        <w:t>Lippolis</w:t>
      </w:r>
      <w:proofErr w:type="spellEnd"/>
      <w:r w:rsidRPr="00BC560D">
        <w:rPr>
          <w:rFonts w:ascii="Times New Roman" w:eastAsia="宋体" w:hAnsi="Times New Roman" w:cs="Times New Roman"/>
          <w:color w:val="000000" w:themeColor="text1"/>
          <w:kern w:val="0"/>
          <w:sz w:val="15"/>
          <w:szCs w:val="15"/>
        </w:rPr>
        <w:t xml:space="preserve"> J, Chen S, et al. Characterization of carotenoid-protein complexes and gene expression analysis associated</w:t>
      </w:r>
      <w:r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宋体" w:hAnsi="Times New Roman" w:cs="Times New Roman"/>
          <w:color w:val="000000" w:themeColor="text1"/>
          <w:kern w:val="0"/>
          <w:sz w:val="15"/>
          <w:szCs w:val="15"/>
        </w:rPr>
        <w:t>with carotenoid sequestration in pigmented cassava (</w:t>
      </w:r>
      <w:proofErr w:type="spellStart"/>
      <w:r w:rsidRPr="00BC560D">
        <w:rPr>
          <w:rFonts w:ascii="Times New Roman" w:eastAsia="宋体" w:hAnsi="Times New Roman" w:cs="Times New Roman"/>
          <w:color w:val="000000" w:themeColor="text1"/>
          <w:kern w:val="0"/>
          <w:sz w:val="15"/>
          <w:szCs w:val="15"/>
        </w:rPr>
        <w:t>Marrihot</w:t>
      </w:r>
      <w:proofErr w:type="spellEnd"/>
      <w:r w:rsidRPr="00BC560D">
        <w:rPr>
          <w:rFonts w:ascii="Times New Roman" w:eastAsia="宋体" w:hAnsi="Times New Roman" w:cs="Times New Roman"/>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esculerrto</w:t>
      </w:r>
      <w:proofErr w:type="spellEnd"/>
      <w:r w:rsidRPr="00BC560D">
        <w:rPr>
          <w:rFonts w:ascii="Times New Roman" w:eastAsia="宋体" w:hAnsi="Times New Roman" w:cs="Times New Roman"/>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Crantz</w:t>
      </w:r>
      <w:proofErr w:type="spellEnd"/>
      <w:r w:rsidRPr="00BC560D">
        <w:rPr>
          <w:rFonts w:ascii="Times New Roman" w:eastAsia="宋体" w:hAnsi="Times New Roman" w:cs="Times New Roman"/>
          <w:color w:val="000000" w:themeColor="text1"/>
          <w:kern w:val="0"/>
          <w:sz w:val="15"/>
          <w:szCs w:val="15"/>
        </w:rPr>
        <w:t>) storage root [J] The Open Biochemistry, Journal, 2012,</w:t>
      </w:r>
      <w:r w:rsidRPr="00BC560D">
        <w:rPr>
          <w:rFonts w:ascii="Times New Roman" w:eastAsia="宋体" w:hAnsi="Times New Roman" w:cs="Times New Roman" w:hint="eastAsia"/>
          <w:color w:val="000000" w:themeColor="text1"/>
          <w:kern w:val="0"/>
          <w:sz w:val="15"/>
          <w:szCs w:val="15"/>
        </w:rPr>
        <w:t xml:space="preserve"> </w:t>
      </w:r>
      <w:r w:rsidRPr="00BC560D">
        <w:rPr>
          <w:rFonts w:ascii="Times New Roman" w:eastAsia="宋体" w:hAnsi="Times New Roman" w:cs="Times New Roman"/>
          <w:color w:val="000000" w:themeColor="text1"/>
          <w:kern w:val="0"/>
          <w:sz w:val="15"/>
          <w:szCs w:val="15"/>
        </w:rPr>
        <w:t>(6) :116-130.</w:t>
      </w:r>
    </w:p>
    <w:p w:rsidR="00076D1F" w:rsidRPr="00BC560D" w:rsidRDefault="001F3022"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Theme="majorHAnsi" w:hAnsi="Times New Roman" w:cs="Times New Roman"/>
          <w:color w:val="000000" w:themeColor="text1"/>
          <w:kern w:val="0"/>
          <w:sz w:val="15"/>
          <w:szCs w:val="15"/>
        </w:rPr>
        <w:t xml:space="preserve">[23] </w:t>
      </w:r>
      <w:proofErr w:type="spellStart"/>
      <w:r w:rsidRPr="00BC560D">
        <w:rPr>
          <w:rFonts w:ascii="Times New Roman" w:eastAsia="宋体" w:hAnsi="Times New Roman" w:cs="Times New Roman"/>
          <w:color w:val="000000" w:themeColor="text1"/>
          <w:kern w:val="0"/>
          <w:sz w:val="15"/>
          <w:szCs w:val="15"/>
        </w:rPr>
        <w:t>Cazzonelli</w:t>
      </w:r>
      <w:proofErr w:type="spellEnd"/>
      <w:r w:rsidRPr="00BC560D">
        <w:rPr>
          <w:rFonts w:ascii="Times New Roman" w:eastAsia="宋体" w:hAnsi="Times New Roman" w:cs="Times New Roman"/>
          <w:color w:val="000000" w:themeColor="text1"/>
          <w:kern w:val="0"/>
          <w:sz w:val="15"/>
          <w:szCs w:val="15"/>
        </w:rPr>
        <w:t xml:space="preserve"> C, </w:t>
      </w:r>
      <w:proofErr w:type="spellStart"/>
      <w:r w:rsidRPr="00BC560D">
        <w:rPr>
          <w:rFonts w:ascii="Times New Roman" w:eastAsia="宋体" w:hAnsi="Times New Roman" w:cs="Times New Roman"/>
          <w:color w:val="000000" w:themeColor="text1"/>
          <w:kern w:val="0"/>
          <w:sz w:val="15"/>
          <w:szCs w:val="15"/>
        </w:rPr>
        <w:t>Pogson</w:t>
      </w:r>
      <w:proofErr w:type="spellEnd"/>
      <w:r w:rsidRPr="00BC560D">
        <w:rPr>
          <w:rFonts w:ascii="Times New Roman" w:eastAsia="宋体" w:hAnsi="Times New Roman" w:cs="Times New Roman"/>
          <w:color w:val="000000" w:themeColor="text1"/>
          <w:kern w:val="0"/>
          <w:sz w:val="15"/>
          <w:szCs w:val="15"/>
        </w:rPr>
        <w:t xml:space="preserve"> B. Source to sink: regulation of carotenoid biosynthesis in plants. Trends in Plant Science, 2010, 15: 266-274.</w:t>
      </w:r>
    </w:p>
    <w:p w:rsidR="001F3022" w:rsidRPr="00BC560D" w:rsidRDefault="001F3022"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eastAsia="宋体" w:hAnsi="Times New Roman" w:cs="Times New Roman"/>
          <w:color w:val="000000" w:themeColor="text1"/>
          <w:kern w:val="0"/>
          <w:sz w:val="15"/>
          <w:szCs w:val="15"/>
        </w:rPr>
        <w:t xml:space="preserve">[24] Burkhardt PK, Beyer P, </w:t>
      </w:r>
      <w:proofErr w:type="spellStart"/>
      <w:r w:rsidRPr="00BC560D">
        <w:rPr>
          <w:rFonts w:ascii="Times New Roman" w:eastAsia="宋体" w:hAnsi="Times New Roman" w:cs="Times New Roman"/>
          <w:color w:val="000000" w:themeColor="text1"/>
          <w:kern w:val="0"/>
          <w:sz w:val="15"/>
          <w:szCs w:val="15"/>
        </w:rPr>
        <w:t>Wunn</w:t>
      </w:r>
      <w:proofErr w:type="spellEnd"/>
      <w:r w:rsidRPr="00BC560D">
        <w:rPr>
          <w:rFonts w:ascii="Times New Roman" w:eastAsia="宋体" w:hAnsi="Times New Roman" w:cs="Times New Roman"/>
          <w:color w:val="000000" w:themeColor="text1"/>
          <w:kern w:val="0"/>
          <w:sz w:val="15"/>
          <w:szCs w:val="15"/>
        </w:rPr>
        <w:t xml:space="preserve"> J, </w:t>
      </w:r>
      <w:proofErr w:type="spellStart"/>
      <w:r w:rsidRPr="00BC560D">
        <w:rPr>
          <w:rFonts w:ascii="Times New Roman" w:eastAsia="宋体" w:hAnsi="Times New Roman" w:cs="Times New Roman"/>
          <w:color w:val="000000" w:themeColor="text1"/>
          <w:kern w:val="0"/>
          <w:sz w:val="15"/>
          <w:szCs w:val="15"/>
        </w:rPr>
        <w:t>Kloti</w:t>
      </w:r>
      <w:proofErr w:type="spellEnd"/>
      <w:r w:rsidRPr="00BC560D">
        <w:rPr>
          <w:rFonts w:ascii="Times New Roman" w:eastAsia="宋体" w:hAnsi="Times New Roman" w:cs="Times New Roman"/>
          <w:color w:val="000000" w:themeColor="text1"/>
          <w:kern w:val="0"/>
          <w:sz w:val="15"/>
          <w:szCs w:val="15"/>
        </w:rPr>
        <w:t xml:space="preserve"> A, Armstrong GA, </w:t>
      </w:r>
      <w:proofErr w:type="spellStart"/>
      <w:r w:rsidRPr="00BC560D">
        <w:rPr>
          <w:rFonts w:ascii="Times New Roman" w:eastAsia="宋体" w:hAnsi="Times New Roman" w:cs="Times New Roman"/>
          <w:color w:val="000000" w:themeColor="text1"/>
          <w:kern w:val="0"/>
          <w:sz w:val="15"/>
          <w:szCs w:val="15"/>
        </w:rPr>
        <w:t>Schledz</w:t>
      </w:r>
      <w:proofErr w:type="spellEnd"/>
      <w:r w:rsidRPr="00BC560D">
        <w:rPr>
          <w:rFonts w:ascii="Times New Roman" w:eastAsia="宋体" w:hAnsi="Times New Roman" w:cs="Times New Roman"/>
          <w:color w:val="000000" w:themeColor="text1"/>
          <w:kern w:val="0"/>
          <w:sz w:val="15"/>
          <w:szCs w:val="15"/>
        </w:rPr>
        <w:t xml:space="preserve"> M, von </w:t>
      </w:r>
      <w:proofErr w:type="spellStart"/>
      <w:r w:rsidRPr="00BC560D">
        <w:rPr>
          <w:rFonts w:ascii="Times New Roman" w:eastAsia="宋体" w:hAnsi="Times New Roman" w:cs="Times New Roman"/>
          <w:color w:val="000000" w:themeColor="text1"/>
          <w:kern w:val="0"/>
          <w:sz w:val="15"/>
          <w:szCs w:val="15"/>
        </w:rPr>
        <w:t>Lintig</w:t>
      </w:r>
      <w:proofErr w:type="spellEnd"/>
      <w:r w:rsidRPr="00BC560D">
        <w:rPr>
          <w:rFonts w:ascii="Times New Roman" w:eastAsia="宋体" w:hAnsi="Times New Roman" w:cs="Times New Roman"/>
          <w:color w:val="000000" w:themeColor="text1"/>
          <w:kern w:val="0"/>
          <w:sz w:val="15"/>
          <w:szCs w:val="15"/>
        </w:rPr>
        <w:t xml:space="preserve"> J, </w:t>
      </w:r>
      <w:proofErr w:type="spellStart"/>
      <w:r w:rsidRPr="00BC560D">
        <w:rPr>
          <w:rFonts w:ascii="Times New Roman" w:eastAsia="宋体" w:hAnsi="Times New Roman" w:cs="Times New Roman"/>
          <w:color w:val="000000" w:themeColor="text1"/>
          <w:kern w:val="0"/>
          <w:sz w:val="15"/>
          <w:szCs w:val="15"/>
        </w:rPr>
        <w:t>Potrykus</w:t>
      </w:r>
      <w:proofErr w:type="spellEnd"/>
      <w:r w:rsidRPr="00BC560D">
        <w:rPr>
          <w:rFonts w:ascii="Times New Roman" w:eastAsia="宋体" w:hAnsi="Times New Roman" w:cs="Times New Roman"/>
          <w:color w:val="000000" w:themeColor="text1"/>
          <w:kern w:val="0"/>
          <w:sz w:val="15"/>
          <w:szCs w:val="15"/>
        </w:rPr>
        <w:t xml:space="preserve"> I. Transgenic rice (</w:t>
      </w:r>
      <w:proofErr w:type="spellStart"/>
      <w:r w:rsidRPr="00BC560D">
        <w:rPr>
          <w:rFonts w:ascii="Times New Roman" w:eastAsia="宋体" w:hAnsi="Times New Roman" w:cs="Times New Roman"/>
          <w:i/>
          <w:color w:val="000000" w:themeColor="text1"/>
          <w:kern w:val="0"/>
          <w:sz w:val="15"/>
          <w:szCs w:val="15"/>
        </w:rPr>
        <w:t>Oryza</w:t>
      </w:r>
      <w:proofErr w:type="spellEnd"/>
      <w:r w:rsidRPr="00BC560D">
        <w:rPr>
          <w:rFonts w:ascii="Times New Roman" w:eastAsia="宋体" w:hAnsi="Times New Roman" w:cs="Times New Roman"/>
          <w:i/>
          <w:color w:val="000000" w:themeColor="text1"/>
          <w:kern w:val="0"/>
          <w:sz w:val="15"/>
          <w:szCs w:val="15"/>
        </w:rPr>
        <w:t xml:space="preserve"> sativa</w:t>
      </w:r>
      <w:r w:rsidRPr="00BC560D">
        <w:rPr>
          <w:rFonts w:ascii="Times New Roman" w:eastAsia="宋体" w:hAnsi="Times New Roman" w:cs="Times New Roman"/>
          <w:color w:val="000000" w:themeColor="text1"/>
          <w:kern w:val="0"/>
          <w:sz w:val="15"/>
          <w:szCs w:val="15"/>
        </w:rPr>
        <w:t>) endosperm expressing daffodil (</w:t>
      </w:r>
      <w:r w:rsidRPr="00BC560D">
        <w:rPr>
          <w:rFonts w:ascii="Times New Roman" w:eastAsia="宋体" w:hAnsi="Times New Roman" w:cs="Times New Roman"/>
          <w:i/>
          <w:color w:val="000000" w:themeColor="text1"/>
          <w:kern w:val="0"/>
          <w:sz w:val="15"/>
          <w:szCs w:val="15"/>
        </w:rPr>
        <w:t xml:space="preserve">Narcissus </w:t>
      </w:r>
      <w:proofErr w:type="spellStart"/>
      <w:r w:rsidRPr="00BC560D">
        <w:rPr>
          <w:rFonts w:ascii="Times New Roman" w:eastAsia="宋体" w:hAnsi="Times New Roman" w:cs="Times New Roman"/>
          <w:i/>
          <w:color w:val="000000" w:themeColor="text1"/>
          <w:kern w:val="0"/>
          <w:sz w:val="15"/>
          <w:szCs w:val="15"/>
        </w:rPr>
        <w:t>pseudonarcissus</w:t>
      </w:r>
      <w:proofErr w:type="spellEnd"/>
      <w:r w:rsidRPr="00BC560D">
        <w:rPr>
          <w:rFonts w:ascii="Times New Roman" w:eastAsia="宋体" w:hAnsi="Times New Roman" w:cs="Times New Roman"/>
          <w:color w:val="000000" w:themeColor="text1"/>
          <w:kern w:val="0"/>
          <w:sz w:val="15"/>
          <w:szCs w:val="15"/>
        </w:rPr>
        <w:t xml:space="preserve">) phytoene synthase accumulates phytoene, a key intermediate of </w:t>
      </w:r>
      <w:proofErr w:type="spellStart"/>
      <w:r w:rsidRPr="00BC560D">
        <w:rPr>
          <w:rFonts w:ascii="Times New Roman" w:eastAsia="宋体" w:hAnsi="Times New Roman" w:cs="Times New Roman"/>
          <w:color w:val="000000" w:themeColor="text1"/>
          <w:kern w:val="0"/>
          <w:sz w:val="15"/>
          <w:szCs w:val="15"/>
        </w:rPr>
        <w:t>provitamin</w:t>
      </w:r>
      <w:proofErr w:type="spellEnd"/>
      <w:r w:rsidRPr="00BC560D">
        <w:rPr>
          <w:rFonts w:ascii="Times New Roman" w:eastAsia="宋体" w:hAnsi="Times New Roman" w:cs="Times New Roman"/>
          <w:color w:val="000000" w:themeColor="text1"/>
          <w:kern w:val="0"/>
          <w:sz w:val="15"/>
          <w:szCs w:val="15"/>
        </w:rPr>
        <w:t xml:space="preserve"> A biosynthesis. Plant Journal, 1997, 11:1071</w:t>
      </w:r>
      <w:proofErr w:type="gramStart"/>
      <w:r w:rsidRPr="00BC560D">
        <w:rPr>
          <w:rFonts w:ascii="Times New Roman" w:eastAsia="宋体" w:hAnsi="Times New Roman" w:cs="Times New Roman" w:hint="eastAsia"/>
          <w:color w:val="000000" w:themeColor="text1"/>
          <w:kern w:val="0"/>
          <w:sz w:val="15"/>
          <w:szCs w:val="15"/>
        </w:rPr>
        <w:t>一</w:t>
      </w:r>
      <w:r w:rsidRPr="00BC560D">
        <w:rPr>
          <w:rFonts w:ascii="Times New Roman" w:eastAsia="宋体" w:hAnsi="Times New Roman" w:cs="Times New Roman"/>
          <w:color w:val="000000" w:themeColor="text1"/>
          <w:kern w:val="0"/>
          <w:sz w:val="15"/>
          <w:szCs w:val="15"/>
        </w:rPr>
        <w:t>1078</w:t>
      </w:r>
      <w:proofErr w:type="gramEnd"/>
      <w:r w:rsidRPr="00BC560D">
        <w:rPr>
          <w:rFonts w:ascii="Times New Roman" w:eastAsia="宋体" w:hAnsi="Times New Roman" w:cs="Times New Roman"/>
          <w:color w:val="000000" w:themeColor="text1"/>
          <w:kern w:val="0"/>
          <w:sz w:val="15"/>
          <w:szCs w:val="15"/>
        </w:rPr>
        <w:t>.</w:t>
      </w:r>
    </w:p>
    <w:p w:rsidR="001A3112" w:rsidRPr="00BC560D" w:rsidRDefault="001F3022" w:rsidP="00CF57DE">
      <w:pPr>
        <w:autoSpaceDE w:val="0"/>
        <w:autoSpaceDN w:val="0"/>
        <w:adjustRightInd w:val="0"/>
        <w:spacing w:line="360" w:lineRule="auto"/>
        <w:rPr>
          <w:rFonts w:ascii="Times New Roman" w:hAnsi="Times New Roman" w:cs="Times New Roman"/>
          <w:color w:val="000000" w:themeColor="text1"/>
          <w:kern w:val="0"/>
          <w:sz w:val="15"/>
          <w:szCs w:val="15"/>
        </w:rPr>
      </w:pPr>
      <w:r w:rsidRPr="00BC560D">
        <w:rPr>
          <w:rFonts w:ascii="Times New Roman" w:eastAsia="宋体" w:hAnsi="Times New Roman" w:cs="Times New Roman"/>
          <w:color w:val="000000" w:themeColor="text1"/>
          <w:kern w:val="0"/>
          <w:sz w:val="15"/>
          <w:szCs w:val="15"/>
        </w:rPr>
        <w:t xml:space="preserve">[25] Ralf </w:t>
      </w:r>
      <w:proofErr w:type="spellStart"/>
      <w:r w:rsidRPr="00BC560D">
        <w:rPr>
          <w:rFonts w:ascii="Times New Roman" w:eastAsia="宋体" w:hAnsi="Times New Roman" w:cs="Times New Roman"/>
          <w:color w:val="000000" w:themeColor="text1"/>
          <w:kern w:val="0"/>
          <w:sz w:val="15"/>
          <w:szCs w:val="15"/>
        </w:rPr>
        <w:t>Welsch</w:t>
      </w:r>
      <w:proofErr w:type="spellEnd"/>
      <w:r w:rsidRPr="00BC560D">
        <w:rPr>
          <w:rFonts w:ascii="Times New Roman" w:eastAsia="宋体" w:hAnsi="Times New Roman" w:cs="Times New Roman"/>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Jacobo</w:t>
      </w:r>
      <w:proofErr w:type="spellEnd"/>
      <w:r w:rsidRPr="00BC560D">
        <w:rPr>
          <w:rFonts w:ascii="Times New Roman" w:eastAsia="宋体" w:hAnsi="Times New Roman" w:cs="Times New Roman"/>
          <w:color w:val="000000" w:themeColor="text1"/>
          <w:kern w:val="0"/>
          <w:sz w:val="15"/>
          <w:szCs w:val="15"/>
        </w:rPr>
        <w:t xml:space="preserve"> </w:t>
      </w:r>
      <w:proofErr w:type="spellStart"/>
      <w:r w:rsidRPr="00BC560D">
        <w:rPr>
          <w:rFonts w:ascii="Times New Roman" w:eastAsia="宋体" w:hAnsi="Times New Roman" w:cs="Times New Roman"/>
          <w:color w:val="000000" w:themeColor="text1"/>
          <w:kern w:val="0"/>
          <w:sz w:val="15"/>
          <w:szCs w:val="15"/>
        </w:rPr>
        <w:t>Arango</w:t>
      </w:r>
      <w:proofErr w:type="spellEnd"/>
      <w:r w:rsidRPr="00BC560D">
        <w:rPr>
          <w:rFonts w:ascii="Times New Roman" w:eastAsia="宋体" w:hAnsi="Times New Roman" w:cs="Times New Roman"/>
          <w:color w:val="000000" w:themeColor="text1"/>
          <w:kern w:val="0"/>
          <w:sz w:val="15"/>
          <w:szCs w:val="15"/>
        </w:rPr>
        <w:t xml:space="preserve">, Cornelia Bar, </w:t>
      </w:r>
      <w:proofErr w:type="spellStart"/>
      <w:r w:rsidRPr="00BC560D">
        <w:rPr>
          <w:rFonts w:ascii="Times New Roman" w:hAnsi="Times New Roman" w:cs="Times New Roman"/>
          <w:color w:val="000000" w:themeColor="text1"/>
          <w:kern w:val="0"/>
          <w:sz w:val="15"/>
          <w:szCs w:val="15"/>
        </w:rPr>
        <w:t>Provitamin</w:t>
      </w:r>
      <w:proofErr w:type="spellEnd"/>
      <w:r w:rsidRPr="00BC560D">
        <w:rPr>
          <w:rFonts w:ascii="Times New Roman" w:hAnsi="Times New Roman" w:cs="Times New Roman"/>
          <w:color w:val="000000" w:themeColor="text1"/>
          <w:kern w:val="0"/>
          <w:sz w:val="15"/>
          <w:szCs w:val="15"/>
        </w:rPr>
        <w:t xml:space="preserve"> A Accumulation in Cassava (</w:t>
      </w:r>
      <w:proofErr w:type="spellStart"/>
      <w:r w:rsidRPr="00BC560D">
        <w:rPr>
          <w:rFonts w:ascii="Times New Roman" w:hAnsi="Times New Roman" w:cs="Times New Roman"/>
          <w:color w:val="000000" w:themeColor="text1"/>
          <w:kern w:val="0"/>
          <w:sz w:val="15"/>
          <w:szCs w:val="15"/>
        </w:rPr>
        <w:t>Manihot</w:t>
      </w:r>
      <w:proofErr w:type="spellEnd"/>
      <w:r w:rsidRPr="00BC560D">
        <w:rPr>
          <w:rFonts w:ascii="Times New Roman" w:hAnsi="Times New Roman" w:cs="Times New Roman"/>
          <w:color w:val="000000" w:themeColor="text1"/>
          <w:kern w:val="0"/>
          <w:sz w:val="15"/>
          <w:szCs w:val="15"/>
        </w:rPr>
        <w:t xml:space="preserve"> </w:t>
      </w:r>
      <w:proofErr w:type="spellStart"/>
      <w:r w:rsidRPr="00BC560D">
        <w:rPr>
          <w:rFonts w:ascii="Times New Roman" w:hAnsi="Times New Roman" w:cs="Times New Roman"/>
          <w:color w:val="000000" w:themeColor="text1"/>
          <w:kern w:val="0"/>
          <w:sz w:val="15"/>
          <w:szCs w:val="15"/>
        </w:rPr>
        <w:t>esculenta</w:t>
      </w:r>
      <w:proofErr w:type="spellEnd"/>
      <w:r w:rsidRPr="00BC560D">
        <w:rPr>
          <w:rFonts w:ascii="Times New Roman" w:hAnsi="Times New Roman" w:cs="Times New Roman"/>
          <w:color w:val="000000" w:themeColor="text1"/>
          <w:kern w:val="0"/>
          <w:sz w:val="15"/>
          <w:szCs w:val="15"/>
        </w:rPr>
        <w:t>)</w:t>
      </w:r>
      <w:r w:rsidRPr="00BC560D">
        <w:rPr>
          <w:rFonts w:ascii="Times New Roman" w:hAnsi="Times New Roman" w:cs="Times New Roman" w:hint="eastAsia"/>
          <w:color w:val="000000" w:themeColor="text1"/>
          <w:kern w:val="0"/>
          <w:sz w:val="15"/>
          <w:szCs w:val="15"/>
        </w:rPr>
        <w:t xml:space="preserve"> </w:t>
      </w:r>
      <w:r w:rsidRPr="00BC560D">
        <w:rPr>
          <w:rFonts w:ascii="Times New Roman" w:hAnsi="Times New Roman" w:cs="Times New Roman"/>
          <w:color w:val="000000" w:themeColor="text1"/>
          <w:kern w:val="0"/>
          <w:sz w:val="15"/>
          <w:szCs w:val="15"/>
        </w:rPr>
        <w:t>Roots Driven by a Single Nucleotide Polymorphism in a</w:t>
      </w:r>
      <w:r w:rsidRPr="00BC560D">
        <w:rPr>
          <w:rFonts w:ascii="Times New Roman" w:hAnsi="Times New Roman" w:cs="Times New Roman" w:hint="eastAsia"/>
          <w:color w:val="000000" w:themeColor="text1"/>
          <w:kern w:val="0"/>
          <w:sz w:val="15"/>
          <w:szCs w:val="15"/>
        </w:rPr>
        <w:t xml:space="preserve"> </w:t>
      </w:r>
      <w:r w:rsidRPr="00BC560D">
        <w:rPr>
          <w:rFonts w:ascii="Times New Roman" w:hAnsi="Times New Roman" w:cs="Times New Roman"/>
          <w:color w:val="000000" w:themeColor="text1"/>
          <w:kern w:val="0"/>
          <w:sz w:val="15"/>
          <w:szCs w:val="15"/>
        </w:rPr>
        <w:t>Phytoene Synthase Gene. The plant cell, Vol.22:</w:t>
      </w:r>
      <w:r w:rsidR="001A3112" w:rsidRPr="00BC560D">
        <w:rPr>
          <w:rFonts w:ascii="Times New Roman" w:hAnsi="Times New Roman" w:cs="Times New Roman"/>
          <w:color w:val="000000" w:themeColor="text1"/>
          <w:kern w:val="0"/>
          <w:sz w:val="15"/>
          <w:szCs w:val="15"/>
        </w:rPr>
        <w:t xml:space="preserve"> 3348-3356.</w:t>
      </w:r>
    </w:p>
    <w:p w:rsidR="001A3112" w:rsidRPr="00BC560D" w:rsidRDefault="001A3112" w:rsidP="00CF57DE">
      <w:pPr>
        <w:autoSpaceDE w:val="0"/>
        <w:autoSpaceDN w:val="0"/>
        <w:adjustRightInd w:val="0"/>
        <w:spacing w:line="360" w:lineRule="auto"/>
        <w:rPr>
          <w:rFonts w:ascii="Times New Roman" w:eastAsia="宋体" w:hAnsi="Times New Roman" w:cs="Times New Roman"/>
          <w:color w:val="000000" w:themeColor="text1"/>
          <w:kern w:val="0"/>
          <w:sz w:val="15"/>
          <w:szCs w:val="15"/>
        </w:rPr>
      </w:pPr>
      <w:r w:rsidRPr="00BC560D">
        <w:rPr>
          <w:rFonts w:ascii="Times New Roman" w:hAnsi="Times New Roman" w:cs="Times New Roman"/>
          <w:color w:val="000000" w:themeColor="text1"/>
          <w:kern w:val="0"/>
          <w:sz w:val="15"/>
          <w:szCs w:val="15"/>
        </w:rPr>
        <w:t xml:space="preserve">[26] </w:t>
      </w:r>
      <w:proofErr w:type="spellStart"/>
      <w:r w:rsidRPr="00BC560D">
        <w:rPr>
          <w:rFonts w:ascii="Times New Roman" w:eastAsia="宋体" w:hAnsi="Times New Roman" w:cs="Times New Roman"/>
          <w:color w:val="000000" w:themeColor="text1"/>
          <w:kern w:val="0"/>
          <w:sz w:val="15"/>
          <w:szCs w:val="15"/>
        </w:rPr>
        <w:t>Simkin</w:t>
      </w:r>
      <w:proofErr w:type="spellEnd"/>
      <w:r w:rsidRPr="00BC560D">
        <w:rPr>
          <w:rFonts w:ascii="Times New Roman" w:eastAsia="宋体" w:hAnsi="Times New Roman" w:cs="Times New Roman"/>
          <w:color w:val="000000" w:themeColor="text1"/>
          <w:kern w:val="0"/>
          <w:sz w:val="15"/>
          <w:szCs w:val="15"/>
        </w:rPr>
        <w:t xml:space="preserve"> AJ, Schwartz SH, </w:t>
      </w:r>
      <w:proofErr w:type="spellStart"/>
      <w:r w:rsidRPr="00BC560D">
        <w:rPr>
          <w:rFonts w:ascii="Times New Roman" w:eastAsia="宋体" w:hAnsi="Times New Roman" w:cs="Times New Roman"/>
          <w:color w:val="000000" w:themeColor="text1"/>
          <w:kern w:val="0"/>
          <w:sz w:val="15"/>
          <w:szCs w:val="15"/>
        </w:rPr>
        <w:t>Auldridge</w:t>
      </w:r>
      <w:proofErr w:type="spellEnd"/>
      <w:r w:rsidRPr="00BC560D">
        <w:rPr>
          <w:rFonts w:ascii="Times New Roman" w:eastAsia="宋体" w:hAnsi="Times New Roman" w:cs="Times New Roman"/>
          <w:color w:val="000000" w:themeColor="text1"/>
          <w:kern w:val="0"/>
          <w:sz w:val="15"/>
          <w:szCs w:val="15"/>
        </w:rPr>
        <w:t xml:space="preserve"> M, Taylor </w:t>
      </w:r>
      <w:proofErr w:type="spellStart"/>
      <w:r w:rsidRPr="00BC560D">
        <w:rPr>
          <w:rFonts w:ascii="Times New Roman" w:eastAsia="宋体" w:hAnsi="Times New Roman" w:cs="Times New Roman"/>
          <w:color w:val="000000" w:themeColor="text1"/>
          <w:kern w:val="0"/>
          <w:sz w:val="15"/>
          <w:szCs w:val="15"/>
        </w:rPr>
        <w:t>Mq</w:t>
      </w:r>
      <w:proofErr w:type="spellEnd"/>
      <w:r w:rsidRPr="00BC560D">
        <w:rPr>
          <w:rFonts w:ascii="Times New Roman" w:eastAsia="宋体" w:hAnsi="Times New Roman" w:cs="Times New Roman"/>
          <w:color w:val="000000" w:themeColor="text1"/>
          <w:kern w:val="0"/>
          <w:sz w:val="15"/>
          <w:szCs w:val="15"/>
        </w:rPr>
        <w:t xml:space="preserve"> Klee HJ. The tomato carotenoid cleavage dioxygenase 1 genes contribute to the formation of the flavor volatiles β-ionone, </w:t>
      </w:r>
      <w:proofErr w:type="spellStart"/>
      <w:r w:rsidRPr="00BC560D">
        <w:rPr>
          <w:rFonts w:ascii="Times New Roman" w:eastAsia="宋体" w:hAnsi="Times New Roman" w:cs="Times New Roman"/>
          <w:color w:val="000000" w:themeColor="text1"/>
          <w:kern w:val="0"/>
          <w:sz w:val="15"/>
          <w:szCs w:val="15"/>
        </w:rPr>
        <w:t>pseudoionone</w:t>
      </w:r>
      <w:proofErr w:type="spellEnd"/>
      <w:r w:rsidRPr="00BC560D">
        <w:rPr>
          <w:rFonts w:ascii="Times New Roman" w:eastAsia="宋体" w:hAnsi="Times New Roman" w:cs="Times New Roman"/>
          <w:color w:val="000000" w:themeColor="text1"/>
          <w:kern w:val="0"/>
          <w:sz w:val="15"/>
          <w:szCs w:val="15"/>
        </w:rPr>
        <w:t xml:space="preserve">, and </w:t>
      </w:r>
      <w:proofErr w:type="spellStart"/>
      <w:r w:rsidRPr="00BC560D">
        <w:rPr>
          <w:rFonts w:ascii="Times New Roman" w:eastAsia="宋体" w:hAnsi="Times New Roman" w:cs="Times New Roman"/>
          <w:color w:val="000000" w:themeColor="text1"/>
          <w:kern w:val="0"/>
          <w:sz w:val="15"/>
          <w:szCs w:val="15"/>
        </w:rPr>
        <w:t>geranylacetone</w:t>
      </w:r>
      <w:proofErr w:type="spellEnd"/>
      <w:r w:rsidRPr="00BC560D">
        <w:rPr>
          <w:rFonts w:ascii="Times New Roman" w:eastAsia="宋体" w:hAnsi="Times New Roman" w:cs="Times New Roman"/>
          <w:color w:val="000000" w:themeColor="text1"/>
          <w:kern w:val="0"/>
          <w:sz w:val="15"/>
          <w:szCs w:val="15"/>
        </w:rPr>
        <w:t>. Plant Journal, 2004, 40: 882-892</w:t>
      </w:r>
    </w:p>
    <w:p w:rsidR="001A3112" w:rsidRPr="00BC560D" w:rsidRDefault="001A3112" w:rsidP="00CF57DE">
      <w:pPr>
        <w:spacing w:line="360" w:lineRule="auto"/>
        <w:rPr>
          <w:rFonts w:ascii="Times New Roman" w:eastAsiaTheme="minorHAnsi" w:hAnsi="Times New Roman" w:cs="Times New Roman"/>
          <w:color w:val="000000" w:themeColor="text1"/>
          <w:sz w:val="15"/>
          <w:szCs w:val="15"/>
        </w:rPr>
      </w:pPr>
      <w:r w:rsidRPr="00BC560D">
        <w:rPr>
          <w:rFonts w:ascii="Times New Roman" w:eastAsia="宋体" w:hAnsi="Times New Roman" w:cs="Times New Roman"/>
          <w:color w:val="000000" w:themeColor="text1"/>
          <w:kern w:val="0"/>
          <w:sz w:val="15"/>
          <w:szCs w:val="15"/>
        </w:rPr>
        <w:t xml:space="preserve">[27] </w:t>
      </w:r>
      <w:r w:rsidRPr="00BC560D">
        <w:rPr>
          <w:rFonts w:ascii="Times New Roman" w:eastAsia="AdvGulliv-R" w:hAnsi="Times New Roman" w:cs="Times New Roman"/>
          <w:color w:val="000000" w:themeColor="text1"/>
          <w:kern w:val="0"/>
          <w:sz w:val="15"/>
          <w:szCs w:val="15"/>
        </w:rPr>
        <w:t xml:space="preserve">S. Al </w:t>
      </w:r>
      <w:proofErr w:type="spellStart"/>
      <w:r w:rsidRPr="00BC560D">
        <w:rPr>
          <w:rFonts w:ascii="Times New Roman" w:eastAsia="AdvGulliv-R" w:hAnsi="Times New Roman" w:cs="Times New Roman"/>
          <w:color w:val="000000" w:themeColor="text1"/>
          <w:kern w:val="0"/>
          <w:sz w:val="15"/>
          <w:szCs w:val="15"/>
        </w:rPr>
        <w:t>Babili</w:t>
      </w:r>
      <w:proofErr w:type="spellEnd"/>
      <w:r w:rsidRPr="00BC560D">
        <w:rPr>
          <w:rFonts w:ascii="Times New Roman" w:eastAsia="AdvGulliv-R" w:hAnsi="Times New Roman" w:cs="Times New Roman"/>
          <w:color w:val="000000" w:themeColor="text1"/>
          <w:kern w:val="0"/>
          <w:sz w:val="15"/>
          <w:szCs w:val="15"/>
        </w:rPr>
        <w:t xml:space="preserve">, J. </w:t>
      </w:r>
      <w:r w:rsidR="0008781B" w:rsidRPr="00BC560D">
        <w:rPr>
          <w:rFonts w:ascii="Times New Roman" w:eastAsia="AdvGulliv-R" w:hAnsi="Times New Roman" w:cs="Times New Roman"/>
          <w:color w:val="000000" w:themeColor="text1"/>
          <w:kern w:val="0"/>
          <w:sz w:val="15"/>
          <w:szCs w:val="15"/>
        </w:rPr>
        <w:t xml:space="preserve"> </w:t>
      </w:r>
      <w:proofErr w:type="spellStart"/>
      <w:r w:rsidR="0008781B" w:rsidRPr="00BC560D">
        <w:rPr>
          <w:rFonts w:ascii="Times New Roman" w:eastAsia="AdvGulliv-R" w:hAnsi="Times New Roman" w:cs="Times New Roman"/>
          <w:color w:val="000000" w:themeColor="text1"/>
          <w:kern w:val="0"/>
          <w:sz w:val="15"/>
          <w:szCs w:val="15"/>
        </w:rPr>
        <w:t>Lintig</w:t>
      </w:r>
      <w:proofErr w:type="spellEnd"/>
      <w:r w:rsidR="0008781B" w:rsidRPr="00BC560D">
        <w:rPr>
          <w:rFonts w:ascii="Times New Roman" w:eastAsia="AdvGulliv-R" w:hAnsi="Times New Roman" w:cs="Times New Roman"/>
          <w:color w:val="000000" w:themeColor="text1"/>
          <w:kern w:val="0"/>
          <w:sz w:val="15"/>
          <w:szCs w:val="15"/>
        </w:rPr>
        <w:t xml:space="preserve">, </w:t>
      </w:r>
      <w:proofErr w:type="gramStart"/>
      <w:r w:rsidR="0008781B" w:rsidRPr="00BC560D">
        <w:rPr>
          <w:rFonts w:ascii="Times New Roman" w:eastAsiaTheme="minorHAnsi" w:hAnsi="Times New Roman" w:cs="Times New Roman"/>
          <w:color w:val="000000" w:themeColor="text1"/>
          <w:sz w:val="15"/>
          <w:szCs w:val="15"/>
        </w:rPr>
        <w:t>A</w:t>
      </w:r>
      <w:proofErr w:type="gramEnd"/>
      <w:r w:rsidR="0008781B" w:rsidRPr="00BC560D">
        <w:rPr>
          <w:rFonts w:ascii="Times New Roman" w:eastAsiaTheme="minorHAnsi" w:hAnsi="Times New Roman" w:cs="Times New Roman"/>
          <w:color w:val="000000" w:themeColor="text1"/>
          <w:sz w:val="15"/>
          <w:szCs w:val="15"/>
        </w:rPr>
        <w:t xml:space="preserve"> novel, soluble form of phytoene desaturase from Narcissus </w:t>
      </w:r>
      <w:proofErr w:type="spellStart"/>
      <w:r w:rsidR="0008781B" w:rsidRPr="00BC560D">
        <w:rPr>
          <w:rFonts w:ascii="Times New Roman" w:eastAsiaTheme="minorHAnsi" w:hAnsi="Times New Roman" w:cs="Times New Roman"/>
          <w:color w:val="000000" w:themeColor="text1"/>
          <w:sz w:val="15"/>
          <w:szCs w:val="15"/>
        </w:rPr>
        <w:t>pseudonarcissus</w:t>
      </w:r>
      <w:proofErr w:type="spellEnd"/>
      <w:r w:rsidR="0008781B" w:rsidRPr="00BC560D">
        <w:rPr>
          <w:rFonts w:ascii="Times New Roman" w:eastAsiaTheme="minorHAnsi" w:hAnsi="Times New Roman" w:cs="Times New Roman"/>
          <w:color w:val="000000" w:themeColor="text1"/>
          <w:sz w:val="15"/>
          <w:szCs w:val="15"/>
        </w:rPr>
        <w:t xml:space="preserve"> </w:t>
      </w:r>
      <w:proofErr w:type="spellStart"/>
      <w:r w:rsidR="0008781B" w:rsidRPr="00BC560D">
        <w:rPr>
          <w:rFonts w:ascii="Times New Roman" w:eastAsiaTheme="minorHAnsi" w:hAnsi="Times New Roman" w:cs="Times New Roman"/>
          <w:color w:val="000000" w:themeColor="text1"/>
          <w:sz w:val="15"/>
          <w:szCs w:val="15"/>
        </w:rPr>
        <w:t>chromoplasts</w:t>
      </w:r>
      <w:proofErr w:type="spellEnd"/>
      <w:r w:rsidR="0008781B" w:rsidRPr="00BC560D">
        <w:rPr>
          <w:rFonts w:ascii="Times New Roman" w:eastAsiaTheme="minorHAnsi" w:hAnsi="Times New Roman" w:cs="Times New Roman"/>
          <w:color w:val="000000" w:themeColor="text1"/>
          <w:sz w:val="15"/>
          <w:szCs w:val="15"/>
        </w:rPr>
        <w:t xml:space="preserve"> is Hsp70</w:t>
      </w:r>
      <w:r w:rsidR="0008781B" w:rsidRPr="00BC560D">
        <w:rPr>
          <w:rFonts w:ascii="宋体" w:eastAsia="宋体" w:hAnsi="宋体" w:cs="宋体" w:hint="eastAsia"/>
          <w:color w:val="000000" w:themeColor="text1"/>
          <w:sz w:val="15"/>
          <w:szCs w:val="15"/>
        </w:rPr>
        <w:t>-</w:t>
      </w:r>
      <w:r w:rsidR="0008781B" w:rsidRPr="00BC560D">
        <w:rPr>
          <w:rFonts w:ascii="Times New Roman" w:eastAsiaTheme="minorHAnsi" w:hAnsi="Times New Roman" w:cs="Times New Roman"/>
          <w:color w:val="000000" w:themeColor="text1"/>
          <w:sz w:val="15"/>
          <w:szCs w:val="15"/>
        </w:rPr>
        <w:t xml:space="preserve">complexed and competent for </w:t>
      </w:r>
      <w:proofErr w:type="spellStart"/>
      <w:r w:rsidR="0008781B" w:rsidRPr="00BC560D">
        <w:rPr>
          <w:rFonts w:ascii="Times New Roman" w:eastAsiaTheme="minorHAnsi" w:hAnsi="Times New Roman" w:cs="Times New Roman"/>
          <w:color w:val="000000" w:themeColor="text1"/>
          <w:sz w:val="15"/>
          <w:szCs w:val="15"/>
        </w:rPr>
        <w:t>flavinylation</w:t>
      </w:r>
      <w:proofErr w:type="spellEnd"/>
      <w:r w:rsidR="0008781B" w:rsidRPr="00BC560D">
        <w:rPr>
          <w:rFonts w:ascii="Times New Roman" w:eastAsiaTheme="minorHAnsi" w:hAnsi="Times New Roman" w:cs="Times New Roman"/>
          <w:color w:val="000000" w:themeColor="text1"/>
          <w:sz w:val="15"/>
          <w:szCs w:val="15"/>
        </w:rPr>
        <w:t xml:space="preserve">, membrane association and enzymatic activation. </w:t>
      </w:r>
      <w:r w:rsidRPr="00BC560D">
        <w:rPr>
          <w:rFonts w:ascii="Times New Roman" w:eastAsia="AdvGulliv-R" w:hAnsi="Times New Roman" w:cs="Times New Roman"/>
          <w:color w:val="000000" w:themeColor="text1"/>
          <w:kern w:val="0"/>
          <w:sz w:val="15"/>
          <w:szCs w:val="15"/>
        </w:rPr>
        <w:t>Plant J. 9 (1996) 601–612.</w:t>
      </w:r>
    </w:p>
    <w:p w:rsidR="001F3022" w:rsidRPr="00BC560D" w:rsidRDefault="001A3112" w:rsidP="00CF57DE">
      <w:pPr>
        <w:autoSpaceDE w:val="0"/>
        <w:autoSpaceDN w:val="0"/>
        <w:adjustRightInd w:val="0"/>
        <w:spacing w:line="360" w:lineRule="auto"/>
        <w:rPr>
          <w:rFonts w:ascii="Times New Roman" w:hAnsi="Times New Roman" w:cs="Times New Roman"/>
          <w:color w:val="000000" w:themeColor="text1"/>
          <w:kern w:val="0"/>
          <w:sz w:val="15"/>
          <w:szCs w:val="15"/>
        </w:rPr>
      </w:pPr>
      <w:r w:rsidRPr="00BC560D">
        <w:rPr>
          <w:rFonts w:ascii="Times New Roman" w:eastAsia="宋体" w:hAnsi="Times New Roman" w:cs="Times New Roman"/>
          <w:color w:val="000000" w:themeColor="text1"/>
          <w:kern w:val="0"/>
          <w:sz w:val="15"/>
          <w:szCs w:val="15"/>
        </w:rPr>
        <w:t xml:space="preserve">[28] </w:t>
      </w:r>
      <w:r w:rsidRPr="00BC560D">
        <w:rPr>
          <w:rFonts w:ascii="Times New Roman" w:eastAsia="AdvGulliv-R" w:hAnsi="Times New Roman" w:cs="Times New Roman"/>
          <w:color w:val="000000" w:themeColor="text1"/>
          <w:kern w:val="0"/>
          <w:sz w:val="15"/>
          <w:szCs w:val="15"/>
        </w:rPr>
        <w:t xml:space="preserve">I. </w:t>
      </w:r>
      <w:proofErr w:type="spellStart"/>
      <w:r w:rsidRPr="00BC560D">
        <w:rPr>
          <w:rFonts w:ascii="Times New Roman" w:eastAsia="AdvGulliv-R" w:hAnsi="Times New Roman" w:cs="Times New Roman"/>
          <w:color w:val="000000" w:themeColor="text1"/>
          <w:kern w:val="0"/>
          <w:sz w:val="15"/>
          <w:szCs w:val="15"/>
        </w:rPr>
        <w:t>Egea</w:t>
      </w:r>
      <w:proofErr w:type="spellEnd"/>
      <w:r w:rsidRPr="00BC560D">
        <w:rPr>
          <w:rFonts w:ascii="Times New Roman" w:eastAsia="AdvGulliv-R" w:hAnsi="Times New Roman" w:cs="Times New Roman"/>
          <w:color w:val="000000" w:themeColor="text1"/>
          <w:kern w:val="0"/>
          <w:sz w:val="15"/>
          <w:szCs w:val="15"/>
        </w:rPr>
        <w:t xml:space="preserve">, C. </w:t>
      </w:r>
      <w:proofErr w:type="spellStart"/>
      <w:r w:rsidRPr="00BC560D">
        <w:rPr>
          <w:rFonts w:ascii="Times New Roman" w:eastAsia="AdvGulliv-R" w:hAnsi="Times New Roman" w:cs="Times New Roman"/>
          <w:color w:val="000000" w:themeColor="text1"/>
          <w:kern w:val="0"/>
          <w:sz w:val="15"/>
          <w:szCs w:val="15"/>
        </w:rPr>
        <w:t>Barsan</w:t>
      </w:r>
      <w:proofErr w:type="spellEnd"/>
      <w:r w:rsidRPr="00BC560D">
        <w:rPr>
          <w:rFonts w:ascii="Times New Roman" w:eastAsia="AdvGulliv-R" w:hAnsi="Times New Roman" w:cs="Times New Roman"/>
          <w:color w:val="000000" w:themeColor="text1"/>
          <w:kern w:val="0"/>
          <w:sz w:val="15"/>
          <w:szCs w:val="15"/>
        </w:rPr>
        <w:t xml:space="preserve">, W. </w:t>
      </w:r>
      <w:proofErr w:type="spellStart"/>
      <w:r w:rsidRPr="00BC560D">
        <w:rPr>
          <w:rFonts w:ascii="Times New Roman" w:eastAsia="AdvGulliv-R" w:hAnsi="Times New Roman" w:cs="Times New Roman"/>
          <w:color w:val="000000" w:themeColor="text1"/>
          <w:kern w:val="0"/>
          <w:sz w:val="15"/>
          <w:szCs w:val="15"/>
        </w:rPr>
        <w:t>Bian</w:t>
      </w:r>
      <w:proofErr w:type="spellEnd"/>
      <w:r w:rsidRPr="00BC560D">
        <w:rPr>
          <w:rFonts w:ascii="Times New Roman" w:eastAsia="AdvGulliv-R" w:hAnsi="Times New Roman" w:cs="Times New Roman"/>
          <w:color w:val="000000" w:themeColor="text1"/>
          <w:kern w:val="0"/>
          <w:sz w:val="15"/>
          <w:szCs w:val="15"/>
        </w:rPr>
        <w:t xml:space="preserve">, E. </w:t>
      </w:r>
      <w:proofErr w:type="spellStart"/>
      <w:r w:rsidRPr="00BC560D">
        <w:rPr>
          <w:rFonts w:ascii="Times New Roman" w:eastAsia="AdvGulliv-R" w:hAnsi="Times New Roman" w:cs="Times New Roman"/>
          <w:color w:val="000000" w:themeColor="text1"/>
          <w:kern w:val="0"/>
          <w:sz w:val="15"/>
          <w:szCs w:val="15"/>
        </w:rPr>
        <w:t>Purgatto</w:t>
      </w:r>
      <w:proofErr w:type="spellEnd"/>
      <w:r w:rsidRPr="00BC560D">
        <w:rPr>
          <w:rFonts w:ascii="Times New Roman" w:eastAsia="AdvGulliv-R" w:hAnsi="Times New Roman" w:cs="Times New Roman"/>
          <w:color w:val="000000" w:themeColor="text1"/>
          <w:kern w:val="0"/>
          <w:sz w:val="15"/>
          <w:szCs w:val="15"/>
        </w:rPr>
        <w:t xml:space="preserve">, A. </w:t>
      </w:r>
      <w:proofErr w:type="spellStart"/>
      <w:r w:rsidRPr="00BC560D">
        <w:rPr>
          <w:rFonts w:ascii="Times New Roman" w:eastAsia="AdvGulliv-R" w:hAnsi="Times New Roman" w:cs="Times New Roman"/>
          <w:color w:val="000000" w:themeColor="text1"/>
          <w:kern w:val="0"/>
          <w:sz w:val="15"/>
          <w:szCs w:val="15"/>
        </w:rPr>
        <w:t>Latche</w:t>
      </w:r>
      <w:proofErr w:type="spellEnd"/>
      <w:r w:rsidRPr="00BC560D">
        <w:rPr>
          <w:rFonts w:ascii="Times New Roman" w:eastAsia="AdvGulliv-R" w:hAnsi="Times New Roman" w:cs="Times New Roman"/>
          <w:color w:val="000000" w:themeColor="text1"/>
          <w:kern w:val="0"/>
          <w:sz w:val="15"/>
          <w:szCs w:val="15"/>
        </w:rPr>
        <w:t xml:space="preserve">, C. </w:t>
      </w:r>
      <w:proofErr w:type="spellStart"/>
      <w:r w:rsidRPr="00BC560D">
        <w:rPr>
          <w:rFonts w:ascii="Times New Roman" w:eastAsia="AdvGulliv-R" w:hAnsi="Times New Roman" w:cs="Times New Roman"/>
          <w:color w:val="000000" w:themeColor="text1"/>
          <w:kern w:val="0"/>
          <w:sz w:val="15"/>
          <w:szCs w:val="15"/>
        </w:rPr>
        <w:t>Chervin</w:t>
      </w:r>
      <w:proofErr w:type="spellEnd"/>
      <w:r w:rsidRPr="00BC560D">
        <w:rPr>
          <w:rFonts w:ascii="Times New Roman" w:eastAsia="AdvGulliv-R" w:hAnsi="Times New Roman" w:cs="Times New Roman"/>
          <w:color w:val="000000" w:themeColor="text1"/>
          <w:kern w:val="0"/>
          <w:sz w:val="15"/>
          <w:szCs w:val="15"/>
        </w:rPr>
        <w:t xml:space="preserve">, M. </w:t>
      </w:r>
      <w:proofErr w:type="spellStart"/>
      <w:r w:rsidRPr="00BC560D">
        <w:rPr>
          <w:rFonts w:ascii="Times New Roman" w:eastAsia="AdvGulliv-R" w:hAnsi="Times New Roman" w:cs="Times New Roman"/>
          <w:color w:val="000000" w:themeColor="text1"/>
          <w:kern w:val="0"/>
          <w:sz w:val="15"/>
          <w:szCs w:val="15"/>
        </w:rPr>
        <w:t>Bouzayen</w:t>
      </w:r>
      <w:proofErr w:type="spellEnd"/>
      <w:r w:rsidRPr="00BC560D">
        <w:rPr>
          <w:rFonts w:ascii="Times New Roman" w:eastAsia="AdvGulliv-R" w:hAnsi="Times New Roman" w:cs="Times New Roman"/>
          <w:color w:val="000000" w:themeColor="text1"/>
          <w:kern w:val="0"/>
          <w:sz w:val="15"/>
          <w:szCs w:val="15"/>
        </w:rPr>
        <w:t>, J.C.</w:t>
      </w:r>
      <w:r w:rsidRPr="00BC560D">
        <w:rPr>
          <w:rFonts w:ascii="Times New Roman" w:eastAsia="AdvGulliv-R" w:hAnsi="Times New Roman" w:cs="Times New Roman" w:hint="eastAsia"/>
          <w:color w:val="000000" w:themeColor="text1"/>
          <w:kern w:val="0"/>
          <w:sz w:val="15"/>
          <w:szCs w:val="15"/>
        </w:rPr>
        <w:t xml:space="preserve"> </w:t>
      </w:r>
      <w:proofErr w:type="spellStart"/>
      <w:r w:rsidRPr="00BC560D">
        <w:rPr>
          <w:rFonts w:ascii="Times New Roman" w:eastAsia="AdvGulliv-R" w:hAnsi="Times New Roman" w:cs="Times New Roman"/>
          <w:color w:val="000000" w:themeColor="text1"/>
          <w:kern w:val="0"/>
          <w:sz w:val="15"/>
          <w:szCs w:val="15"/>
        </w:rPr>
        <w:t>Pech</w:t>
      </w:r>
      <w:proofErr w:type="spellEnd"/>
      <w:r w:rsidRPr="00BC560D">
        <w:rPr>
          <w:rFonts w:ascii="Times New Roman" w:eastAsia="AdvGulliv-R" w:hAnsi="Times New Roman" w:cs="Times New Roman"/>
          <w:color w:val="000000" w:themeColor="text1"/>
          <w:kern w:val="0"/>
          <w:sz w:val="15"/>
          <w:szCs w:val="15"/>
        </w:rPr>
        <w:t>,</w:t>
      </w:r>
      <w:r w:rsidR="0008781B" w:rsidRPr="00BC560D">
        <w:rPr>
          <w:rFonts w:ascii="Times New Roman" w:eastAsia="AdvGulliv-R" w:hAnsi="Times New Roman" w:cs="Times New Roman"/>
          <w:color w:val="000000" w:themeColor="text1"/>
          <w:kern w:val="0"/>
          <w:sz w:val="15"/>
          <w:szCs w:val="15"/>
        </w:rPr>
        <w:t xml:space="preserve"> </w:t>
      </w:r>
      <w:proofErr w:type="spellStart"/>
      <w:r w:rsidR="0008781B" w:rsidRPr="00BC560D">
        <w:rPr>
          <w:rFonts w:ascii="Times New Roman" w:eastAsia="AdvGulliv-R" w:hAnsi="Times New Roman" w:cs="Times New Roman"/>
          <w:color w:val="000000" w:themeColor="text1"/>
          <w:kern w:val="0"/>
          <w:sz w:val="15"/>
          <w:szCs w:val="15"/>
        </w:rPr>
        <w:t>Chromoplast</w:t>
      </w:r>
      <w:proofErr w:type="spellEnd"/>
      <w:r w:rsidR="0008781B" w:rsidRPr="00BC560D">
        <w:rPr>
          <w:rFonts w:ascii="Times New Roman" w:eastAsia="AdvGulliv-R" w:hAnsi="Times New Roman" w:cs="Times New Roman"/>
          <w:color w:val="000000" w:themeColor="text1"/>
          <w:kern w:val="0"/>
          <w:sz w:val="15"/>
          <w:szCs w:val="15"/>
        </w:rPr>
        <w:t xml:space="preserve"> differentiation: current status and perspectives.</w:t>
      </w:r>
      <w:r w:rsidRPr="00BC560D">
        <w:rPr>
          <w:rFonts w:ascii="Times New Roman" w:eastAsia="AdvGulliv-R" w:hAnsi="Times New Roman" w:cs="Times New Roman"/>
          <w:color w:val="000000" w:themeColor="text1"/>
          <w:kern w:val="0"/>
          <w:sz w:val="15"/>
          <w:szCs w:val="15"/>
        </w:rPr>
        <w:t xml:space="preserve"> Plant Cell Physiol. 51 (2010) 1601–1611.</w:t>
      </w:r>
      <w:r w:rsidR="001F3022" w:rsidRPr="00BC560D">
        <w:rPr>
          <w:rFonts w:ascii="Times New Roman" w:hAnsi="Times New Roman" w:cs="Times New Roman"/>
          <w:color w:val="000000" w:themeColor="text1"/>
          <w:kern w:val="0"/>
          <w:sz w:val="15"/>
          <w:szCs w:val="15"/>
        </w:rPr>
        <w:t xml:space="preserve"> </w:t>
      </w:r>
    </w:p>
    <w:p w:rsidR="001A3112" w:rsidRPr="001A3112" w:rsidRDefault="001A3112" w:rsidP="001A3112">
      <w:pPr>
        <w:autoSpaceDE w:val="0"/>
        <w:autoSpaceDN w:val="0"/>
        <w:adjustRightInd w:val="0"/>
        <w:jc w:val="left"/>
        <w:rPr>
          <w:rFonts w:ascii="Times New Roman" w:eastAsia="AdvGulliv-R" w:hAnsi="Times New Roman" w:cs="Times New Roman"/>
          <w:color w:val="000066"/>
          <w:kern w:val="0"/>
          <w:szCs w:val="21"/>
        </w:rPr>
      </w:pPr>
    </w:p>
    <w:p w:rsidR="005A6A51" w:rsidRPr="001A3112" w:rsidRDefault="005A6A51" w:rsidP="00A11200">
      <w:pPr>
        <w:pStyle w:val="a3"/>
        <w:ind w:left="360" w:firstLineChars="0" w:firstLine="0"/>
        <w:rPr>
          <w:rFonts w:eastAsiaTheme="minorHAnsi"/>
          <w:sz w:val="28"/>
          <w:szCs w:val="28"/>
        </w:rPr>
      </w:pPr>
    </w:p>
    <w:sectPr w:rsidR="005A6A51" w:rsidRPr="001A311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A1DB7" w:rsidRDefault="00DA1DB7" w:rsidP="00FE3AFA">
      <w:r>
        <w:separator/>
      </w:r>
    </w:p>
  </w:endnote>
  <w:endnote w:type="continuationSeparator" w:id="0">
    <w:p w:rsidR="00DA1DB7" w:rsidRDefault="00DA1DB7" w:rsidP="00FE3A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楷体">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FZShuSong-Z01">
    <w:altName w:val="等线"/>
    <w:panose1 w:val="00000000000000000000"/>
    <w:charset w:val="86"/>
    <w:family w:val="auto"/>
    <w:notTrueType/>
    <w:pitch w:val="default"/>
    <w:sig w:usb0="00000001" w:usb1="080E0000" w:usb2="00000010" w:usb3="00000000" w:csb0="00040000" w:csb1="00000000"/>
  </w:font>
  <w:font w:name="E-BZ+ZHIB2q-1">
    <w:altName w:val="方正舒体"/>
    <w:panose1 w:val="00000000000000000000"/>
    <w:charset w:val="86"/>
    <w:family w:val="auto"/>
    <w:notTrueType/>
    <w:pitch w:val="default"/>
    <w:sig w:usb0="00000001" w:usb1="080E0000" w:usb2="00000010" w:usb3="00000000" w:csb0="00040000" w:csb1="00000000"/>
  </w:font>
  <w:font w:name="AdobeHeitiStd-Regular">
    <w:altName w:val="方正舒体"/>
    <w:panose1 w:val="00000000000000000000"/>
    <w:charset w:val="86"/>
    <w:family w:val="auto"/>
    <w:notTrueType/>
    <w:pitch w:val="default"/>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AdvGulliv-R">
    <w:altName w:val="等线"/>
    <w:panose1 w:val="00000000000000000000"/>
    <w:charset w:val="86"/>
    <w:family w:val="auto"/>
    <w:notTrueType/>
    <w:pitch w:val="default"/>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A1DB7" w:rsidRDefault="00DA1DB7" w:rsidP="00FE3AFA">
      <w:r>
        <w:separator/>
      </w:r>
    </w:p>
  </w:footnote>
  <w:footnote w:type="continuationSeparator" w:id="0">
    <w:p w:rsidR="00DA1DB7" w:rsidRDefault="00DA1DB7" w:rsidP="00FE3AFA">
      <w:r>
        <w:continuationSeparator/>
      </w:r>
    </w:p>
  </w:footnote>
  <w:footnote w:id="1">
    <w:p w:rsidR="00CE175E" w:rsidRPr="00384F38" w:rsidRDefault="00CE175E" w:rsidP="00CE175E">
      <w:pPr>
        <w:pStyle w:val="ac"/>
        <w:spacing w:line="300" w:lineRule="exact"/>
        <w:rPr>
          <w:rFonts w:ascii="Times New Roman" w:eastAsia="宋体" w:hAnsi="Times New Roman"/>
        </w:rPr>
      </w:pPr>
      <w:r w:rsidRPr="00384F38">
        <w:rPr>
          <w:rStyle w:val="ae"/>
          <w:rFonts w:ascii="Times New Roman" w:eastAsia="宋体" w:hAnsi="Times New Roman"/>
        </w:rPr>
        <w:sym w:font="Symbol" w:char="F02A"/>
      </w:r>
      <w:r w:rsidRPr="00384F38">
        <w:rPr>
          <w:rFonts w:ascii="Times New Roman" w:eastAsia="宋体" w:hAnsi="Times New Roman"/>
        </w:rPr>
        <w:t xml:space="preserve"> </w:t>
      </w:r>
      <w:r w:rsidRPr="00384F38">
        <w:rPr>
          <w:rFonts w:ascii="Times New Roman" w:eastAsia="宋体" w:hAnsi="Times New Roman" w:hint="eastAsia"/>
        </w:rPr>
        <w:t>收稿日期</w:t>
      </w:r>
    </w:p>
    <w:p w:rsidR="00CE175E" w:rsidRPr="00384F38" w:rsidRDefault="00CE175E" w:rsidP="00CE175E">
      <w:pPr>
        <w:pStyle w:val="ac"/>
        <w:spacing w:line="300" w:lineRule="exact"/>
        <w:ind w:firstLineChars="78" w:firstLine="140"/>
        <w:rPr>
          <w:rFonts w:ascii="Times New Roman" w:eastAsia="宋体" w:hAnsi="Times New Roman"/>
        </w:rPr>
      </w:pPr>
      <w:r w:rsidRPr="00384F38">
        <w:rPr>
          <w:rFonts w:ascii="Times New Roman" w:eastAsia="宋体" w:hAnsi="Times New Roman" w:hint="eastAsia"/>
        </w:rPr>
        <w:t>基金项目：</w:t>
      </w:r>
      <w:r w:rsidRPr="00D54174">
        <w:rPr>
          <w:rFonts w:ascii="Times New Roman" w:eastAsia="宋体" w:hAnsi="Times New Roman" w:hint="eastAsia"/>
        </w:rPr>
        <w:t>国家自然科学基金面上项目</w:t>
      </w:r>
      <w:r w:rsidRPr="00225F10">
        <w:rPr>
          <w:rFonts w:ascii="Times New Roman" w:eastAsia="宋体" w:hAnsi="Times New Roman" w:hint="eastAsia"/>
        </w:rPr>
        <w:t xml:space="preserve"> (</w:t>
      </w:r>
      <w:r w:rsidRPr="00D54174">
        <w:rPr>
          <w:rFonts w:ascii="Times New Roman" w:hAnsi="Times New Roman" w:cs="宋体"/>
          <w:kern w:val="0"/>
        </w:rPr>
        <w:t>No.31271776</w:t>
      </w:r>
      <w:r w:rsidRPr="00D54174">
        <w:rPr>
          <w:rFonts w:ascii="Times New Roman" w:eastAsia="宋体" w:hAnsi="Times New Roman" w:hint="eastAsia"/>
        </w:rPr>
        <w:t>)</w:t>
      </w:r>
      <w:r w:rsidRPr="00D54174">
        <w:rPr>
          <w:rFonts w:ascii="Times New Roman" w:eastAsia="宋体" w:hAnsi="Times New Roman" w:hint="eastAsia"/>
        </w:rPr>
        <w:t>；</w:t>
      </w:r>
      <w:r w:rsidRPr="00D54174">
        <w:rPr>
          <w:rFonts w:ascii="Times New Roman" w:eastAsia="FZShuSong-Z01" w:hAnsi="Times New Roman" w:cs="FZShuSong-Z01" w:hint="eastAsia"/>
          <w:kern w:val="0"/>
        </w:rPr>
        <w:t>海南省高层次创新创业人才基金</w:t>
      </w:r>
      <w:r w:rsidRPr="00D54174">
        <w:rPr>
          <w:rFonts w:ascii="Times New Roman" w:eastAsia="FZShuSong-Z01" w:hAnsi="Times New Roman" w:cs="宋体"/>
          <w:kern w:val="0"/>
        </w:rPr>
        <w:t>(No.2012-2016)</w:t>
      </w:r>
    </w:p>
    <w:p w:rsidR="00CE175E" w:rsidRPr="00384F38" w:rsidRDefault="00CE175E" w:rsidP="00CE175E">
      <w:pPr>
        <w:pStyle w:val="ac"/>
        <w:spacing w:line="300" w:lineRule="exact"/>
        <w:ind w:firstLineChars="78" w:firstLine="140"/>
        <w:rPr>
          <w:rFonts w:ascii="Times New Roman" w:eastAsia="宋体" w:hAnsi="Times New Roman"/>
        </w:rPr>
      </w:pPr>
      <w:r>
        <w:rPr>
          <w:rFonts w:ascii="Times New Roman" w:eastAsia="宋体" w:hAnsi="Times New Roman" w:hint="eastAsia"/>
        </w:rPr>
        <w:t>第一</w:t>
      </w:r>
      <w:r w:rsidRPr="001B1298">
        <w:rPr>
          <w:rFonts w:ascii="Times New Roman" w:eastAsia="宋体" w:hAnsi="Times New Roman" w:hint="eastAsia"/>
        </w:rPr>
        <w:t>作者简历：硕士研究生，研究方向：植物生化与分子生物学；</w:t>
      </w:r>
      <w:r w:rsidRPr="001B1298">
        <w:rPr>
          <w:rFonts w:ascii="Times New Roman" w:eastAsia="宋体" w:hAnsi="Times New Roman" w:hint="eastAsia"/>
        </w:rPr>
        <w:t>E-mail:dczlovefjy@icloud</w:t>
      </w:r>
      <w:r>
        <w:rPr>
          <w:rFonts w:ascii="Times New Roman" w:eastAsia="宋体" w:hAnsi="Times New Roman" w:hint="eastAsia"/>
        </w:rPr>
        <w:t>.com</w:t>
      </w:r>
    </w:p>
    <w:p w:rsidR="00CE175E" w:rsidRPr="00384F38" w:rsidRDefault="00CE175E" w:rsidP="00CE175E">
      <w:pPr>
        <w:pStyle w:val="ac"/>
        <w:spacing w:line="300" w:lineRule="exact"/>
        <w:ind w:firstLineChars="78" w:firstLine="140"/>
        <w:rPr>
          <w:rFonts w:ascii="Times New Roman" w:eastAsia="宋体" w:hAnsi="Times New Roman"/>
        </w:rPr>
      </w:pPr>
      <w:r w:rsidRPr="00384F38">
        <w:rPr>
          <w:rFonts w:ascii="Times New Roman" w:eastAsia="宋体" w:hAnsi="Times New Roman" w:hint="eastAsia"/>
        </w:rPr>
        <w:t>通讯作者：陈松笔，男，研究员，研究方向：作物遗传育种和蛋白质组学；</w:t>
      </w:r>
      <w:r w:rsidRPr="00384F38">
        <w:rPr>
          <w:rFonts w:ascii="Times New Roman" w:eastAsia="宋体" w:hAnsi="Times New Roman" w:hint="eastAsia"/>
        </w:rPr>
        <w:t>E-mail:</w:t>
      </w:r>
      <w:r w:rsidR="00500FDD">
        <w:rPr>
          <w:rFonts w:ascii="Times New Roman" w:eastAsia="宋体" w:hAnsi="Times New Roman" w:hint="eastAsia"/>
        </w:rPr>
        <w:t xml:space="preserve"> </w:t>
      </w:r>
      <w:r w:rsidRPr="00384F38">
        <w:rPr>
          <w:rFonts w:ascii="Times New Roman" w:eastAsia="宋体" w:hAnsi="Times New Roman" w:hint="eastAsia"/>
        </w:rPr>
        <w:t>songbichen@</w:t>
      </w:r>
      <w:r>
        <w:rPr>
          <w:rFonts w:ascii="Times New Roman" w:eastAsia="宋体" w:hAnsi="Times New Roman" w:hint="eastAsia"/>
        </w:rPr>
        <w:t>catas</w:t>
      </w:r>
      <w:r w:rsidRPr="00384F38">
        <w:rPr>
          <w:rFonts w:ascii="Times New Roman" w:eastAsia="宋体" w:hAnsi="Times New Roman" w:hint="eastAsia"/>
        </w:rPr>
        <w:t>.c</w:t>
      </w:r>
      <w:r>
        <w:rPr>
          <w:rFonts w:ascii="Times New Roman" w:eastAsia="宋体" w:hAnsi="Times New Roman" w:hint="eastAsia"/>
        </w:rPr>
        <w:t>n</w:t>
      </w:r>
    </w:p>
    <w:p w:rsidR="00CE175E" w:rsidRDefault="00CE175E" w:rsidP="00CE175E">
      <w:pPr>
        <w:pStyle w:val="ac"/>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F345A1"/>
    <w:multiLevelType w:val="hybridMultilevel"/>
    <w:tmpl w:val="29A4E096"/>
    <w:lvl w:ilvl="0" w:tplc="F604A69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67487720"/>
    <w:multiLevelType w:val="multilevel"/>
    <w:tmpl w:val="C1C2E64A"/>
    <w:lvl w:ilvl="0">
      <w:start w:val="1"/>
      <w:numFmt w:val="decimal"/>
      <w:lvlText w:val="%1"/>
      <w:lvlJc w:val="left"/>
      <w:pPr>
        <w:ind w:left="495" w:hanging="49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4910"/>
    <w:rsid w:val="00031082"/>
    <w:rsid w:val="00033E37"/>
    <w:rsid w:val="00045AF6"/>
    <w:rsid w:val="00053F90"/>
    <w:rsid w:val="00062FFF"/>
    <w:rsid w:val="000667EA"/>
    <w:rsid w:val="00076D1F"/>
    <w:rsid w:val="00087501"/>
    <w:rsid w:val="0008781B"/>
    <w:rsid w:val="00095D5C"/>
    <w:rsid w:val="0009768D"/>
    <w:rsid w:val="000B60AF"/>
    <w:rsid w:val="000D2628"/>
    <w:rsid w:val="000D2F92"/>
    <w:rsid w:val="000E54D8"/>
    <w:rsid w:val="000E6BC7"/>
    <w:rsid w:val="000F5C7F"/>
    <w:rsid w:val="00110B6A"/>
    <w:rsid w:val="00113DDB"/>
    <w:rsid w:val="001173BB"/>
    <w:rsid w:val="00122564"/>
    <w:rsid w:val="001251B0"/>
    <w:rsid w:val="00134329"/>
    <w:rsid w:val="00161AB8"/>
    <w:rsid w:val="001705E4"/>
    <w:rsid w:val="00197954"/>
    <w:rsid w:val="001A3112"/>
    <w:rsid w:val="001F3022"/>
    <w:rsid w:val="00201DAF"/>
    <w:rsid w:val="0020204C"/>
    <w:rsid w:val="00221E3E"/>
    <w:rsid w:val="00225D05"/>
    <w:rsid w:val="00240E12"/>
    <w:rsid w:val="00252F65"/>
    <w:rsid w:val="002552C2"/>
    <w:rsid w:val="00263C3B"/>
    <w:rsid w:val="00292BAB"/>
    <w:rsid w:val="00295D9A"/>
    <w:rsid w:val="002A2C89"/>
    <w:rsid w:val="002A551A"/>
    <w:rsid w:val="002B171E"/>
    <w:rsid w:val="002D335B"/>
    <w:rsid w:val="002D3661"/>
    <w:rsid w:val="002D6786"/>
    <w:rsid w:val="002E6A81"/>
    <w:rsid w:val="00312F69"/>
    <w:rsid w:val="003561CE"/>
    <w:rsid w:val="0039531B"/>
    <w:rsid w:val="003A333D"/>
    <w:rsid w:val="003A4DFF"/>
    <w:rsid w:val="003A5387"/>
    <w:rsid w:val="003B501A"/>
    <w:rsid w:val="003C70CD"/>
    <w:rsid w:val="003E6219"/>
    <w:rsid w:val="003F1CD2"/>
    <w:rsid w:val="004126B8"/>
    <w:rsid w:val="00414C3F"/>
    <w:rsid w:val="00436A6B"/>
    <w:rsid w:val="00441BF4"/>
    <w:rsid w:val="00462ED3"/>
    <w:rsid w:val="00481ECB"/>
    <w:rsid w:val="00484645"/>
    <w:rsid w:val="00485AC6"/>
    <w:rsid w:val="004A2284"/>
    <w:rsid w:val="004D5FD7"/>
    <w:rsid w:val="00500FDD"/>
    <w:rsid w:val="0051722F"/>
    <w:rsid w:val="00541ADF"/>
    <w:rsid w:val="00546745"/>
    <w:rsid w:val="00556BFF"/>
    <w:rsid w:val="0056452A"/>
    <w:rsid w:val="005963CA"/>
    <w:rsid w:val="005966DE"/>
    <w:rsid w:val="005A6A51"/>
    <w:rsid w:val="005E7A2D"/>
    <w:rsid w:val="006073B0"/>
    <w:rsid w:val="00620362"/>
    <w:rsid w:val="00657025"/>
    <w:rsid w:val="006710EC"/>
    <w:rsid w:val="0068394A"/>
    <w:rsid w:val="00690925"/>
    <w:rsid w:val="006B0477"/>
    <w:rsid w:val="006E5BB9"/>
    <w:rsid w:val="00705592"/>
    <w:rsid w:val="00706F05"/>
    <w:rsid w:val="00716EBB"/>
    <w:rsid w:val="00721D15"/>
    <w:rsid w:val="00724E55"/>
    <w:rsid w:val="00744DE4"/>
    <w:rsid w:val="00763801"/>
    <w:rsid w:val="00771060"/>
    <w:rsid w:val="007804B5"/>
    <w:rsid w:val="00786863"/>
    <w:rsid w:val="007956FA"/>
    <w:rsid w:val="007B224E"/>
    <w:rsid w:val="007C13DF"/>
    <w:rsid w:val="00800918"/>
    <w:rsid w:val="00800A58"/>
    <w:rsid w:val="00844560"/>
    <w:rsid w:val="0085667F"/>
    <w:rsid w:val="008A023C"/>
    <w:rsid w:val="008A6F01"/>
    <w:rsid w:val="008B1DC9"/>
    <w:rsid w:val="008B6D64"/>
    <w:rsid w:val="008D4580"/>
    <w:rsid w:val="008D7AB3"/>
    <w:rsid w:val="008E19A5"/>
    <w:rsid w:val="008F4910"/>
    <w:rsid w:val="00901B1A"/>
    <w:rsid w:val="00926DF5"/>
    <w:rsid w:val="00972BCA"/>
    <w:rsid w:val="00974626"/>
    <w:rsid w:val="009868C9"/>
    <w:rsid w:val="00991862"/>
    <w:rsid w:val="009A3586"/>
    <w:rsid w:val="009A4B30"/>
    <w:rsid w:val="009B2B42"/>
    <w:rsid w:val="009B3406"/>
    <w:rsid w:val="009E15B3"/>
    <w:rsid w:val="009E7831"/>
    <w:rsid w:val="00A11200"/>
    <w:rsid w:val="00A164CF"/>
    <w:rsid w:val="00A30678"/>
    <w:rsid w:val="00A50E5A"/>
    <w:rsid w:val="00A557D1"/>
    <w:rsid w:val="00A809AE"/>
    <w:rsid w:val="00A8119A"/>
    <w:rsid w:val="00AA73CF"/>
    <w:rsid w:val="00AC65D2"/>
    <w:rsid w:val="00AF52D7"/>
    <w:rsid w:val="00B1349E"/>
    <w:rsid w:val="00B21DF4"/>
    <w:rsid w:val="00B23CA5"/>
    <w:rsid w:val="00B62A17"/>
    <w:rsid w:val="00B95931"/>
    <w:rsid w:val="00B9671E"/>
    <w:rsid w:val="00BA2FD9"/>
    <w:rsid w:val="00BC0720"/>
    <w:rsid w:val="00BC560D"/>
    <w:rsid w:val="00BD1617"/>
    <w:rsid w:val="00BD188C"/>
    <w:rsid w:val="00BD7A2B"/>
    <w:rsid w:val="00BE0739"/>
    <w:rsid w:val="00C12AEF"/>
    <w:rsid w:val="00C35AD8"/>
    <w:rsid w:val="00C37ED3"/>
    <w:rsid w:val="00C57E54"/>
    <w:rsid w:val="00C6798B"/>
    <w:rsid w:val="00C72692"/>
    <w:rsid w:val="00C8180E"/>
    <w:rsid w:val="00C8414F"/>
    <w:rsid w:val="00CA7083"/>
    <w:rsid w:val="00CC787C"/>
    <w:rsid w:val="00CE175E"/>
    <w:rsid w:val="00CE4471"/>
    <w:rsid w:val="00CF00D8"/>
    <w:rsid w:val="00CF57DE"/>
    <w:rsid w:val="00D019CA"/>
    <w:rsid w:val="00D12F30"/>
    <w:rsid w:val="00D64B52"/>
    <w:rsid w:val="00D65A15"/>
    <w:rsid w:val="00D67684"/>
    <w:rsid w:val="00DA1DB7"/>
    <w:rsid w:val="00DB004D"/>
    <w:rsid w:val="00DB2495"/>
    <w:rsid w:val="00DC24FD"/>
    <w:rsid w:val="00DD3436"/>
    <w:rsid w:val="00DE70FF"/>
    <w:rsid w:val="00E32E21"/>
    <w:rsid w:val="00E66EE5"/>
    <w:rsid w:val="00E90401"/>
    <w:rsid w:val="00EA222D"/>
    <w:rsid w:val="00EA2BF7"/>
    <w:rsid w:val="00EA4EBE"/>
    <w:rsid w:val="00EC7A05"/>
    <w:rsid w:val="00F1343A"/>
    <w:rsid w:val="00F50C52"/>
    <w:rsid w:val="00F52518"/>
    <w:rsid w:val="00F65FE5"/>
    <w:rsid w:val="00FB4484"/>
    <w:rsid w:val="00FE3A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2D041D"/>
  <w15:docId w15:val="{2B451DCF-105D-45AE-9DB1-2FCBB40447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
    <w:name w:val="Normal"/>
    <w:qFormat/>
    <w:pPr>
      <w:widowControl w:val="0"/>
      <w:jc w:val="both"/>
    </w:pPr>
  </w:style>
  <w:style w:type="paragraph" w:styleId="3">
    <w:name w:val="heading 3"/>
    <w:basedOn w:val="a"/>
    <w:link w:val="30"/>
    <w:uiPriority w:val="9"/>
    <w:qFormat/>
    <w:rsid w:val="003E6219"/>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D7AB3"/>
    <w:pPr>
      <w:ind w:firstLineChars="200" w:firstLine="420"/>
    </w:pPr>
  </w:style>
  <w:style w:type="table" w:styleId="a4">
    <w:name w:val="Table Grid"/>
    <w:basedOn w:val="a1"/>
    <w:uiPriority w:val="39"/>
    <w:rsid w:val="002D6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FE3AFA"/>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FE3AFA"/>
    <w:rPr>
      <w:sz w:val="18"/>
      <w:szCs w:val="18"/>
    </w:rPr>
  </w:style>
  <w:style w:type="paragraph" w:styleId="a7">
    <w:name w:val="footer"/>
    <w:basedOn w:val="a"/>
    <w:link w:val="a8"/>
    <w:uiPriority w:val="99"/>
    <w:unhideWhenUsed/>
    <w:rsid w:val="00FE3AFA"/>
    <w:pPr>
      <w:tabs>
        <w:tab w:val="center" w:pos="4153"/>
        <w:tab w:val="right" w:pos="8306"/>
      </w:tabs>
      <w:snapToGrid w:val="0"/>
      <w:jc w:val="left"/>
    </w:pPr>
    <w:rPr>
      <w:sz w:val="18"/>
      <w:szCs w:val="18"/>
    </w:rPr>
  </w:style>
  <w:style w:type="character" w:customStyle="1" w:styleId="a8">
    <w:name w:val="页脚 字符"/>
    <w:basedOn w:val="a0"/>
    <w:link w:val="a7"/>
    <w:uiPriority w:val="99"/>
    <w:rsid w:val="00FE3AFA"/>
    <w:rPr>
      <w:sz w:val="18"/>
      <w:szCs w:val="18"/>
    </w:rPr>
  </w:style>
  <w:style w:type="character" w:customStyle="1" w:styleId="30">
    <w:name w:val="标题 3 字符"/>
    <w:basedOn w:val="a0"/>
    <w:link w:val="3"/>
    <w:uiPriority w:val="9"/>
    <w:rsid w:val="003E6219"/>
    <w:rPr>
      <w:rFonts w:ascii="宋体" w:eastAsia="宋体" w:hAnsi="宋体" w:cs="宋体"/>
      <w:b/>
      <w:bCs/>
      <w:kern w:val="0"/>
      <w:sz w:val="27"/>
      <w:szCs w:val="27"/>
    </w:rPr>
  </w:style>
  <w:style w:type="character" w:styleId="a9">
    <w:name w:val="Hyperlink"/>
    <w:basedOn w:val="a0"/>
    <w:uiPriority w:val="99"/>
    <w:semiHidden/>
    <w:unhideWhenUsed/>
    <w:rsid w:val="003E6219"/>
    <w:rPr>
      <w:color w:val="0000FF"/>
      <w:u w:val="single"/>
    </w:rPr>
  </w:style>
  <w:style w:type="paragraph" w:styleId="aa">
    <w:name w:val="Balloon Text"/>
    <w:basedOn w:val="a"/>
    <w:link w:val="ab"/>
    <w:uiPriority w:val="99"/>
    <w:semiHidden/>
    <w:unhideWhenUsed/>
    <w:rsid w:val="00CE175E"/>
    <w:rPr>
      <w:sz w:val="18"/>
      <w:szCs w:val="18"/>
    </w:rPr>
  </w:style>
  <w:style w:type="character" w:customStyle="1" w:styleId="ab">
    <w:name w:val="批注框文本 字符"/>
    <w:basedOn w:val="a0"/>
    <w:link w:val="aa"/>
    <w:uiPriority w:val="99"/>
    <w:semiHidden/>
    <w:rsid w:val="00CE175E"/>
    <w:rPr>
      <w:sz w:val="18"/>
      <w:szCs w:val="18"/>
    </w:rPr>
  </w:style>
  <w:style w:type="paragraph" w:styleId="ac">
    <w:name w:val="footnote text"/>
    <w:basedOn w:val="a"/>
    <w:link w:val="ad"/>
    <w:uiPriority w:val="99"/>
    <w:semiHidden/>
    <w:unhideWhenUsed/>
    <w:rsid w:val="00CE175E"/>
    <w:pPr>
      <w:snapToGrid w:val="0"/>
      <w:jc w:val="left"/>
    </w:pPr>
    <w:rPr>
      <w:sz w:val="18"/>
      <w:szCs w:val="18"/>
    </w:rPr>
  </w:style>
  <w:style w:type="character" w:customStyle="1" w:styleId="ad">
    <w:name w:val="脚注文本 字符"/>
    <w:basedOn w:val="a0"/>
    <w:link w:val="ac"/>
    <w:uiPriority w:val="99"/>
    <w:semiHidden/>
    <w:rsid w:val="00CE175E"/>
    <w:rPr>
      <w:sz w:val="18"/>
      <w:szCs w:val="18"/>
    </w:rPr>
  </w:style>
  <w:style w:type="character" w:styleId="ae">
    <w:name w:val="footnote reference"/>
    <w:basedOn w:val="a0"/>
    <w:uiPriority w:val="99"/>
    <w:semiHidden/>
    <w:unhideWhenUsed/>
    <w:rsid w:val="00CE175E"/>
    <w:rPr>
      <w:vertAlign w:val="superscript"/>
    </w:rPr>
  </w:style>
  <w:style w:type="character" w:customStyle="1" w:styleId="shorttext">
    <w:name w:val="short_text"/>
    <w:basedOn w:val="a0"/>
    <w:rsid w:val="00744D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891065">
      <w:bodyDiv w:val="1"/>
      <w:marLeft w:val="0"/>
      <w:marRight w:val="0"/>
      <w:marTop w:val="0"/>
      <w:marBottom w:val="0"/>
      <w:divBdr>
        <w:top w:val="none" w:sz="0" w:space="0" w:color="auto"/>
        <w:left w:val="none" w:sz="0" w:space="0" w:color="auto"/>
        <w:bottom w:val="none" w:sz="0" w:space="0" w:color="auto"/>
        <w:right w:val="none" w:sz="0" w:space="0" w:color="auto"/>
      </w:divBdr>
      <w:divsChild>
        <w:div w:id="19012364">
          <w:marLeft w:val="0"/>
          <w:marRight w:val="0"/>
          <w:marTop w:val="0"/>
          <w:marBottom w:val="0"/>
          <w:divBdr>
            <w:top w:val="none" w:sz="0" w:space="0" w:color="auto"/>
            <w:left w:val="none" w:sz="0" w:space="0" w:color="auto"/>
            <w:bottom w:val="none" w:sz="0" w:space="0" w:color="auto"/>
            <w:right w:val="none" w:sz="0" w:space="0" w:color="auto"/>
          </w:divBdr>
        </w:div>
        <w:div w:id="210965145">
          <w:marLeft w:val="0"/>
          <w:marRight w:val="0"/>
          <w:marTop w:val="0"/>
          <w:marBottom w:val="0"/>
          <w:divBdr>
            <w:top w:val="none" w:sz="0" w:space="0" w:color="auto"/>
            <w:left w:val="none" w:sz="0" w:space="0" w:color="auto"/>
            <w:bottom w:val="none" w:sz="0" w:space="0" w:color="auto"/>
            <w:right w:val="none" w:sz="0" w:space="0" w:color="auto"/>
          </w:divBdr>
        </w:div>
        <w:div w:id="272441773">
          <w:marLeft w:val="0"/>
          <w:marRight w:val="0"/>
          <w:marTop w:val="0"/>
          <w:marBottom w:val="0"/>
          <w:divBdr>
            <w:top w:val="none" w:sz="0" w:space="0" w:color="auto"/>
            <w:left w:val="none" w:sz="0" w:space="0" w:color="auto"/>
            <w:bottom w:val="none" w:sz="0" w:space="0" w:color="auto"/>
            <w:right w:val="none" w:sz="0" w:space="0" w:color="auto"/>
          </w:divBdr>
        </w:div>
        <w:div w:id="560095202">
          <w:marLeft w:val="0"/>
          <w:marRight w:val="0"/>
          <w:marTop w:val="0"/>
          <w:marBottom w:val="0"/>
          <w:divBdr>
            <w:top w:val="none" w:sz="0" w:space="0" w:color="auto"/>
            <w:left w:val="none" w:sz="0" w:space="0" w:color="auto"/>
            <w:bottom w:val="none" w:sz="0" w:space="0" w:color="auto"/>
            <w:right w:val="none" w:sz="0" w:space="0" w:color="auto"/>
          </w:divBdr>
        </w:div>
        <w:div w:id="880481421">
          <w:marLeft w:val="0"/>
          <w:marRight w:val="0"/>
          <w:marTop w:val="0"/>
          <w:marBottom w:val="0"/>
          <w:divBdr>
            <w:top w:val="none" w:sz="0" w:space="0" w:color="auto"/>
            <w:left w:val="none" w:sz="0" w:space="0" w:color="auto"/>
            <w:bottom w:val="none" w:sz="0" w:space="0" w:color="auto"/>
            <w:right w:val="none" w:sz="0" w:space="0" w:color="auto"/>
          </w:divBdr>
        </w:div>
        <w:div w:id="910189081">
          <w:marLeft w:val="0"/>
          <w:marRight w:val="0"/>
          <w:marTop w:val="0"/>
          <w:marBottom w:val="0"/>
          <w:divBdr>
            <w:top w:val="none" w:sz="0" w:space="0" w:color="auto"/>
            <w:left w:val="none" w:sz="0" w:space="0" w:color="auto"/>
            <w:bottom w:val="none" w:sz="0" w:space="0" w:color="auto"/>
            <w:right w:val="none" w:sz="0" w:space="0" w:color="auto"/>
          </w:divBdr>
        </w:div>
        <w:div w:id="932855540">
          <w:marLeft w:val="0"/>
          <w:marRight w:val="0"/>
          <w:marTop w:val="0"/>
          <w:marBottom w:val="0"/>
          <w:divBdr>
            <w:top w:val="none" w:sz="0" w:space="0" w:color="auto"/>
            <w:left w:val="none" w:sz="0" w:space="0" w:color="auto"/>
            <w:bottom w:val="none" w:sz="0" w:space="0" w:color="auto"/>
            <w:right w:val="none" w:sz="0" w:space="0" w:color="auto"/>
          </w:divBdr>
        </w:div>
        <w:div w:id="960457315">
          <w:marLeft w:val="0"/>
          <w:marRight w:val="0"/>
          <w:marTop w:val="0"/>
          <w:marBottom w:val="0"/>
          <w:divBdr>
            <w:top w:val="none" w:sz="0" w:space="0" w:color="auto"/>
            <w:left w:val="none" w:sz="0" w:space="0" w:color="auto"/>
            <w:bottom w:val="none" w:sz="0" w:space="0" w:color="auto"/>
            <w:right w:val="none" w:sz="0" w:space="0" w:color="auto"/>
          </w:divBdr>
        </w:div>
        <w:div w:id="985087549">
          <w:marLeft w:val="0"/>
          <w:marRight w:val="0"/>
          <w:marTop w:val="0"/>
          <w:marBottom w:val="0"/>
          <w:divBdr>
            <w:top w:val="none" w:sz="0" w:space="0" w:color="auto"/>
            <w:left w:val="none" w:sz="0" w:space="0" w:color="auto"/>
            <w:bottom w:val="none" w:sz="0" w:space="0" w:color="auto"/>
            <w:right w:val="none" w:sz="0" w:space="0" w:color="auto"/>
          </w:divBdr>
        </w:div>
        <w:div w:id="1004822892">
          <w:marLeft w:val="0"/>
          <w:marRight w:val="0"/>
          <w:marTop w:val="0"/>
          <w:marBottom w:val="0"/>
          <w:divBdr>
            <w:top w:val="none" w:sz="0" w:space="0" w:color="auto"/>
            <w:left w:val="none" w:sz="0" w:space="0" w:color="auto"/>
            <w:bottom w:val="none" w:sz="0" w:space="0" w:color="auto"/>
            <w:right w:val="none" w:sz="0" w:space="0" w:color="auto"/>
          </w:divBdr>
        </w:div>
        <w:div w:id="1053043851">
          <w:marLeft w:val="0"/>
          <w:marRight w:val="0"/>
          <w:marTop w:val="0"/>
          <w:marBottom w:val="0"/>
          <w:divBdr>
            <w:top w:val="none" w:sz="0" w:space="0" w:color="auto"/>
            <w:left w:val="none" w:sz="0" w:space="0" w:color="auto"/>
            <w:bottom w:val="none" w:sz="0" w:space="0" w:color="auto"/>
            <w:right w:val="none" w:sz="0" w:space="0" w:color="auto"/>
          </w:divBdr>
        </w:div>
        <w:div w:id="1077096900">
          <w:marLeft w:val="0"/>
          <w:marRight w:val="0"/>
          <w:marTop w:val="0"/>
          <w:marBottom w:val="0"/>
          <w:divBdr>
            <w:top w:val="none" w:sz="0" w:space="0" w:color="auto"/>
            <w:left w:val="none" w:sz="0" w:space="0" w:color="auto"/>
            <w:bottom w:val="none" w:sz="0" w:space="0" w:color="auto"/>
            <w:right w:val="none" w:sz="0" w:space="0" w:color="auto"/>
          </w:divBdr>
        </w:div>
        <w:div w:id="1135030283">
          <w:marLeft w:val="0"/>
          <w:marRight w:val="0"/>
          <w:marTop w:val="0"/>
          <w:marBottom w:val="0"/>
          <w:divBdr>
            <w:top w:val="none" w:sz="0" w:space="0" w:color="auto"/>
            <w:left w:val="none" w:sz="0" w:space="0" w:color="auto"/>
            <w:bottom w:val="none" w:sz="0" w:space="0" w:color="auto"/>
            <w:right w:val="none" w:sz="0" w:space="0" w:color="auto"/>
          </w:divBdr>
        </w:div>
        <w:div w:id="1303390000">
          <w:marLeft w:val="0"/>
          <w:marRight w:val="0"/>
          <w:marTop w:val="0"/>
          <w:marBottom w:val="0"/>
          <w:divBdr>
            <w:top w:val="none" w:sz="0" w:space="0" w:color="auto"/>
            <w:left w:val="none" w:sz="0" w:space="0" w:color="auto"/>
            <w:bottom w:val="none" w:sz="0" w:space="0" w:color="auto"/>
            <w:right w:val="none" w:sz="0" w:space="0" w:color="auto"/>
          </w:divBdr>
        </w:div>
        <w:div w:id="1440175829">
          <w:marLeft w:val="0"/>
          <w:marRight w:val="0"/>
          <w:marTop w:val="0"/>
          <w:marBottom w:val="0"/>
          <w:divBdr>
            <w:top w:val="none" w:sz="0" w:space="0" w:color="auto"/>
            <w:left w:val="none" w:sz="0" w:space="0" w:color="auto"/>
            <w:bottom w:val="none" w:sz="0" w:space="0" w:color="auto"/>
            <w:right w:val="none" w:sz="0" w:space="0" w:color="auto"/>
          </w:divBdr>
        </w:div>
        <w:div w:id="1836023655">
          <w:marLeft w:val="0"/>
          <w:marRight w:val="0"/>
          <w:marTop w:val="0"/>
          <w:marBottom w:val="0"/>
          <w:divBdr>
            <w:top w:val="none" w:sz="0" w:space="0" w:color="auto"/>
            <w:left w:val="none" w:sz="0" w:space="0" w:color="auto"/>
            <w:bottom w:val="none" w:sz="0" w:space="0" w:color="auto"/>
            <w:right w:val="none" w:sz="0" w:space="0" w:color="auto"/>
          </w:divBdr>
        </w:div>
        <w:div w:id="1867716375">
          <w:marLeft w:val="0"/>
          <w:marRight w:val="0"/>
          <w:marTop w:val="0"/>
          <w:marBottom w:val="0"/>
          <w:divBdr>
            <w:top w:val="none" w:sz="0" w:space="0" w:color="auto"/>
            <w:left w:val="none" w:sz="0" w:space="0" w:color="auto"/>
            <w:bottom w:val="none" w:sz="0" w:space="0" w:color="auto"/>
            <w:right w:val="none" w:sz="0" w:space="0" w:color="auto"/>
          </w:divBdr>
        </w:div>
        <w:div w:id="1944145914">
          <w:marLeft w:val="0"/>
          <w:marRight w:val="0"/>
          <w:marTop w:val="0"/>
          <w:marBottom w:val="0"/>
          <w:divBdr>
            <w:top w:val="none" w:sz="0" w:space="0" w:color="auto"/>
            <w:left w:val="none" w:sz="0" w:space="0" w:color="auto"/>
            <w:bottom w:val="none" w:sz="0" w:space="0" w:color="auto"/>
            <w:right w:val="none" w:sz="0" w:space="0" w:color="auto"/>
          </w:divBdr>
        </w:div>
        <w:div w:id="1975601545">
          <w:marLeft w:val="0"/>
          <w:marRight w:val="0"/>
          <w:marTop w:val="0"/>
          <w:marBottom w:val="0"/>
          <w:divBdr>
            <w:top w:val="none" w:sz="0" w:space="0" w:color="auto"/>
            <w:left w:val="none" w:sz="0" w:space="0" w:color="auto"/>
            <w:bottom w:val="none" w:sz="0" w:space="0" w:color="auto"/>
            <w:right w:val="none" w:sz="0" w:space="0" w:color="auto"/>
          </w:divBdr>
        </w:div>
        <w:div w:id="2072073183">
          <w:marLeft w:val="0"/>
          <w:marRight w:val="0"/>
          <w:marTop w:val="0"/>
          <w:marBottom w:val="0"/>
          <w:divBdr>
            <w:top w:val="none" w:sz="0" w:space="0" w:color="auto"/>
            <w:left w:val="none" w:sz="0" w:space="0" w:color="auto"/>
            <w:bottom w:val="none" w:sz="0" w:space="0" w:color="auto"/>
            <w:right w:val="none" w:sz="0" w:space="0" w:color="auto"/>
          </w:divBdr>
        </w:div>
        <w:div w:id="2097744417">
          <w:marLeft w:val="0"/>
          <w:marRight w:val="0"/>
          <w:marTop w:val="0"/>
          <w:marBottom w:val="0"/>
          <w:divBdr>
            <w:top w:val="none" w:sz="0" w:space="0" w:color="auto"/>
            <w:left w:val="none" w:sz="0" w:space="0" w:color="auto"/>
            <w:bottom w:val="none" w:sz="0" w:space="0" w:color="auto"/>
            <w:right w:val="none" w:sz="0" w:space="0" w:color="auto"/>
          </w:divBdr>
        </w:div>
        <w:div w:id="2125268886">
          <w:marLeft w:val="0"/>
          <w:marRight w:val="0"/>
          <w:marTop w:val="0"/>
          <w:marBottom w:val="0"/>
          <w:divBdr>
            <w:top w:val="none" w:sz="0" w:space="0" w:color="auto"/>
            <w:left w:val="none" w:sz="0" w:space="0" w:color="auto"/>
            <w:bottom w:val="none" w:sz="0" w:space="0" w:color="auto"/>
            <w:right w:val="none" w:sz="0" w:space="0" w:color="auto"/>
          </w:divBdr>
        </w:div>
      </w:divsChild>
    </w:div>
    <w:div w:id="386615047">
      <w:bodyDiv w:val="1"/>
      <w:marLeft w:val="0"/>
      <w:marRight w:val="0"/>
      <w:marTop w:val="0"/>
      <w:marBottom w:val="0"/>
      <w:divBdr>
        <w:top w:val="none" w:sz="0" w:space="0" w:color="auto"/>
        <w:left w:val="none" w:sz="0" w:space="0" w:color="auto"/>
        <w:bottom w:val="none" w:sz="0" w:space="0" w:color="auto"/>
        <w:right w:val="none" w:sz="0" w:space="0" w:color="auto"/>
      </w:divBdr>
    </w:div>
    <w:div w:id="496767034">
      <w:bodyDiv w:val="1"/>
      <w:marLeft w:val="0"/>
      <w:marRight w:val="0"/>
      <w:marTop w:val="0"/>
      <w:marBottom w:val="0"/>
      <w:divBdr>
        <w:top w:val="none" w:sz="0" w:space="0" w:color="auto"/>
        <w:left w:val="none" w:sz="0" w:space="0" w:color="auto"/>
        <w:bottom w:val="none" w:sz="0" w:space="0" w:color="auto"/>
        <w:right w:val="none" w:sz="0" w:space="0" w:color="auto"/>
      </w:divBdr>
    </w:div>
    <w:div w:id="1209336381">
      <w:bodyDiv w:val="1"/>
      <w:marLeft w:val="0"/>
      <w:marRight w:val="0"/>
      <w:marTop w:val="0"/>
      <w:marBottom w:val="0"/>
      <w:divBdr>
        <w:top w:val="none" w:sz="0" w:space="0" w:color="auto"/>
        <w:left w:val="none" w:sz="0" w:space="0" w:color="auto"/>
        <w:bottom w:val="none" w:sz="0" w:space="0" w:color="auto"/>
        <w:right w:val="none" w:sz="0" w:space="0" w:color="auto"/>
      </w:divBdr>
      <w:divsChild>
        <w:div w:id="1127044022">
          <w:marLeft w:val="0"/>
          <w:marRight w:val="0"/>
          <w:marTop w:val="0"/>
          <w:marBottom w:val="0"/>
          <w:divBdr>
            <w:top w:val="none" w:sz="0" w:space="0" w:color="auto"/>
            <w:left w:val="none" w:sz="0" w:space="0" w:color="auto"/>
            <w:bottom w:val="none" w:sz="0" w:space="0" w:color="auto"/>
            <w:right w:val="none" w:sz="0" w:space="0" w:color="auto"/>
          </w:divBdr>
        </w:div>
        <w:div w:id="819735690">
          <w:marLeft w:val="0"/>
          <w:marRight w:val="0"/>
          <w:marTop w:val="0"/>
          <w:marBottom w:val="0"/>
          <w:divBdr>
            <w:top w:val="none" w:sz="0" w:space="0" w:color="auto"/>
            <w:left w:val="none" w:sz="0" w:space="0" w:color="auto"/>
            <w:bottom w:val="none" w:sz="0" w:space="0" w:color="auto"/>
            <w:right w:val="none" w:sz="0" w:space="0" w:color="auto"/>
          </w:divBdr>
          <w:divsChild>
            <w:div w:id="1016345665">
              <w:marLeft w:val="0"/>
              <w:marRight w:val="0"/>
              <w:marTop w:val="0"/>
              <w:marBottom w:val="0"/>
              <w:divBdr>
                <w:top w:val="none" w:sz="0" w:space="0" w:color="auto"/>
                <w:left w:val="none" w:sz="0" w:space="0" w:color="auto"/>
                <w:bottom w:val="none" w:sz="0" w:space="0" w:color="auto"/>
                <w:right w:val="none" w:sz="0" w:space="0" w:color="auto"/>
              </w:divBdr>
              <w:divsChild>
                <w:div w:id="1381590455">
                  <w:marLeft w:val="0"/>
                  <w:marRight w:val="0"/>
                  <w:marTop w:val="0"/>
                  <w:marBottom w:val="0"/>
                  <w:divBdr>
                    <w:top w:val="none" w:sz="0" w:space="0" w:color="auto"/>
                    <w:left w:val="none" w:sz="0" w:space="0" w:color="auto"/>
                    <w:bottom w:val="none" w:sz="0" w:space="0" w:color="auto"/>
                    <w:right w:val="none" w:sz="0" w:space="0" w:color="auto"/>
                  </w:divBdr>
                  <w:divsChild>
                    <w:div w:id="1368292800">
                      <w:marLeft w:val="0"/>
                      <w:marRight w:val="0"/>
                      <w:marTop w:val="0"/>
                      <w:marBottom w:val="0"/>
                      <w:divBdr>
                        <w:top w:val="none" w:sz="0" w:space="0" w:color="auto"/>
                        <w:left w:val="none" w:sz="0" w:space="0" w:color="auto"/>
                        <w:bottom w:val="none" w:sz="0" w:space="0" w:color="auto"/>
                        <w:right w:val="none" w:sz="0" w:space="0" w:color="auto"/>
                      </w:divBdr>
                      <w:divsChild>
                        <w:div w:id="1666666153">
                          <w:marLeft w:val="0"/>
                          <w:marRight w:val="0"/>
                          <w:marTop w:val="0"/>
                          <w:marBottom w:val="0"/>
                          <w:divBdr>
                            <w:top w:val="none" w:sz="0" w:space="0" w:color="auto"/>
                            <w:left w:val="none" w:sz="0" w:space="0" w:color="auto"/>
                            <w:bottom w:val="none" w:sz="0" w:space="0" w:color="auto"/>
                            <w:right w:val="none" w:sz="0" w:space="0" w:color="auto"/>
                          </w:divBdr>
                          <w:divsChild>
                            <w:div w:id="20305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7687305">
      <w:bodyDiv w:val="1"/>
      <w:marLeft w:val="0"/>
      <w:marRight w:val="0"/>
      <w:marTop w:val="0"/>
      <w:marBottom w:val="0"/>
      <w:divBdr>
        <w:top w:val="none" w:sz="0" w:space="0" w:color="auto"/>
        <w:left w:val="none" w:sz="0" w:space="0" w:color="auto"/>
        <w:bottom w:val="none" w:sz="0" w:space="0" w:color="auto"/>
        <w:right w:val="none" w:sz="0" w:space="0" w:color="auto"/>
      </w:divBdr>
    </w:div>
    <w:div w:id="1405906944">
      <w:bodyDiv w:val="1"/>
      <w:marLeft w:val="0"/>
      <w:marRight w:val="0"/>
      <w:marTop w:val="0"/>
      <w:marBottom w:val="0"/>
      <w:divBdr>
        <w:top w:val="none" w:sz="0" w:space="0" w:color="auto"/>
        <w:left w:val="none" w:sz="0" w:space="0" w:color="auto"/>
        <w:bottom w:val="none" w:sz="0" w:space="0" w:color="auto"/>
        <w:right w:val="none" w:sz="0" w:space="0" w:color="auto"/>
      </w:divBdr>
      <w:divsChild>
        <w:div w:id="71435614">
          <w:marLeft w:val="0"/>
          <w:marRight w:val="0"/>
          <w:marTop w:val="0"/>
          <w:marBottom w:val="0"/>
          <w:divBdr>
            <w:top w:val="none" w:sz="0" w:space="0" w:color="auto"/>
            <w:left w:val="none" w:sz="0" w:space="0" w:color="auto"/>
            <w:bottom w:val="none" w:sz="0" w:space="0" w:color="auto"/>
            <w:right w:val="none" w:sz="0" w:space="0" w:color="auto"/>
          </w:divBdr>
        </w:div>
        <w:div w:id="2023706552">
          <w:marLeft w:val="0"/>
          <w:marRight w:val="0"/>
          <w:marTop w:val="0"/>
          <w:marBottom w:val="0"/>
          <w:divBdr>
            <w:top w:val="none" w:sz="0" w:space="0" w:color="auto"/>
            <w:left w:val="none" w:sz="0" w:space="0" w:color="auto"/>
            <w:bottom w:val="none" w:sz="0" w:space="0" w:color="auto"/>
            <w:right w:val="none" w:sz="0" w:space="0" w:color="auto"/>
          </w:divBdr>
          <w:divsChild>
            <w:div w:id="567771048">
              <w:marLeft w:val="0"/>
              <w:marRight w:val="0"/>
              <w:marTop w:val="0"/>
              <w:marBottom w:val="0"/>
              <w:divBdr>
                <w:top w:val="none" w:sz="0" w:space="0" w:color="auto"/>
                <w:left w:val="none" w:sz="0" w:space="0" w:color="auto"/>
                <w:bottom w:val="none" w:sz="0" w:space="0" w:color="auto"/>
                <w:right w:val="none" w:sz="0" w:space="0" w:color="auto"/>
              </w:divBdr>
              <w:divsChild>
                <w:div w:id="61760777">
                  <w:marLeft w:val="0"/>
                  <w:marRight w:val="0"/>
                  <w:marTop w:val="0"/>
                  <w:marBottom w:val="0"/>
                  <w:divBdr>
                    <w:top w:val="none" w:sz="0" w:space="0" w:color="auto"/>
                    <w:left w:val="none" w:sz="0" w:space="0" w:color="auto"/>
                    <w:bottom w:val="none" w:sz="0" w:space="0" w:color="auto"/>
                    <w:right w:val="none" w:sz="0" w:space="0" w:color="auto"/>
                  </w:divBdr>
                  <w:divsChild>
                    <w:div w:id="886375067">
                      <w:marLeft w:val="0"/>
                      <w:marRight w:val="0"/>
                      <w:marTop w:val="0"/>
                      <w:marBottom w:val="0"/>
                      <w:divBdr>
                        <w:top w:val="none" w:sz="0" w:space="0" w:color="auto"/>
                        <w:left w:val="none" w:sz="0" w:space="0" w:color="auto"/>
                        <w:bottom w:val="none" w:sz="0" w:space="0" w:color="auto"/>
                        <w:right w:val="none" w:sz="0" w:space="0" w:color="auto"/>
                      </w:divBdr>
                      <w:divsChild>
                        <w:div w:id="248655743">
                          <w:marLeft w:val="0"/>
                          <w:marRight w:val="0"/>
                          <w:marTop w:val="0"/>
                          <w:marBottom w:val="0"/>
                          <w:divBdr>
                            <w:top w:val="none" w:sz="0" w:space="0" w:color="auto"/>
                            <w:left w:val="none" w:sz="0" w:space="0" w:color="auto"/>
                            <w:bottom w:val="none" w:sz="0" w:space="0" w:color="auto"/>
                            <w:right w:val="none" w:sz="0" w:space="0" w:color="auto"/>
                          </w:divBdr>
                          <w:divsChild>
                            <w:div w:id="1969899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hart" Target="charts/chart3.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chart" Target="charts/chart6.xml"/><Relationship Id="rId10" Type="http://schemas.openxmlformats.org/officeDocument/2006/relationships/chart" Target="charts/chart1.xml"/><Relationship Id="rId19" Type="http://schemas.openxmlformats.org/officeDocument/2006/relationships/chart" Target="charts/chart4.xml"/><Relationship Id="rId4" Type="http://schemas.openxmlformats.org/officeDocument/2006/relationships/settings" Target="settings.xml"/><Relationship Id="rId9" Type="http://schemas.openxmlformats.org/officeDocument/2006/relationships/package" Target="embeddings/Microsoft_Visio_Drawing.vsdx"/><Relationship Id="rId14" Type="http://schemas.openxmlformats.org/officeDocument/2006/relationships/image" Target="media/image5.png"/><Relationship Id="rId22" Type="http://schemas.openxmlformats.org/officeDocument/2006/relationships/image" Target="media/image9.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228477690288715"/>
          <c:y val="5.0925925925925923E-2"/>
          <c:w val="0.85382633420822385"/>
          <c:h val="0.61457531350247885"/>
        </c:manualLayout>
      </c:layout>
      <c:barChart>
        <c:barDir val="col"/>
        <c:grouping val="clustered"/>
        <c:varyColors val="0"/>
        <c:ser>
          <c:idx val="0"/>
          <c:order val="0"/>
          <c:spPr>
            <a:solidFill>
              <a:schemeClr val="accent1"/>
            </a:solidFill>
            <a:ln w="15875">
              <a:solidFill>
                <a:schemeClr val="tx1">
                  <a:lumMod val="65000"/>
                  <a:lumOff val="35000"/>
                </a:schemeClr>
              </a:solidFill>
            </a:ln>
            <a:effectLst/>
          </c:spPr>
          <c:invertIfNegative val="0"/>
          <c:dPt>
            <c:idx val="0"/>
            <c:invertIfNegative val="0"/>
            <c:bubble3D val="0"/>
            <c:spPr>
              <a:pattFill prst="ltDnDiag">
                <a:fgClr>
                  <a:schemeClr val="tx1"/>
                </a:fgClr>
                <a:bgClr>
                  <a:schemeClr val="bg1"/>
                </a:bgClr>
              </a:pattFill>
              <a:ln w="15875">
                <a:solidFill>
                  <a:schemeClr val="tx1">
                    <a:lumMod val="65000"/>
                    <a:lumOff val="35000"/>
                  </a:schemeClr>
                </a:solidFill>
              </a:ln>
              <a:effectLst/>
            </c:spPr>
            <c:extLst>
              <c:ext xmlns:c16="http://schemas.microsoft.com/office/drawing/2014/chart" uri="{C3380CC4-5D6E-409C-BE32-E72D297353CC}">
                <c16:uniqueId val="{00000001-3B24-4686-A60D-963957075195}"/>
              </c:ext>
            </c:extLst>
          </c:dPt>
          <c:dPt>
            <c:idx val="1"/>
            <c:invertIfNegative val="0"/>
            <c:bubble3D val="0"/>
            <c:spPr>
              <a:pattFill prst="pct50">
                <a:fgClr>
                  <a:schemeClr val="tx1"/>
                </a:fgClr>
                <a:bgClr>
                  <a:schemeClr val="bg1"/>
                </a:bgClr>
              </a:pattFill>
              <a:ln w="15875">
                <a:solidFill>
                  <a:schemeClr val="tx1">
                    <a:lumMod val="65000"/>
                    <a:lumOff val="35000"/>
                  </a:schemeClr>
                </a:solidFill>
              </a:ln>
              <a:effectLst/>
            </c:spPr>
            <c:extLst>
              <c:ext xmlns:c16="http://schemas.microsoft.com/office/drawing/2014/chart" uri="{C3380CC4-5D6E-409C-BE32-E72D297353CC}">
                <c16:uniqueId val="{00000003-3B24-4686-A60D-963957075195}"/>
              </c:ext>
            </c:extLst>
          </c:dPt>
          <c:dPt>
            <c:idx val="3"/>
            <c:invertIfNegative val="0"/>
            <c:bubble3D val="0"/>
            <c:spPr>
              <a:pattFill prst="pct5">
                <a:fgClr>
                  <a:schemeClr val="tx1"/>
                </a:fgClr>
                <a:bgClr>
                  <a:schemeClr val="bg1"/>
                </a:bgClr>
              </a:pattFill>
              <a:ln w="15875">
                <a:solidFill>
                  <a:schemeClr val="tx1">
                    <a:lumMod val="65000"/>
                    <a:lumOff val="35000"/>
                  </a:schemeClr>
                </a:solidFill>
              </a:ln>
              <a:effectLst/>
            </c:spPr>
            <c:extLst>
              <c:ext xmlns:c16="http://schemas.microsoft.com/office/drawing/2014/chart" uri="{C3380CC4-5D6E-409C-BE32-E72D297353CC}">
                <c16:uniqueId val="{00000005-3B24-4686-A60D-963957075195}"/>
              </c:ext>
            </c:extLst>
          </c:dPt>
          <c:dPt>
            <c:idx val="4"/>
            <c:invertIfNegative val="0"/>
            <c:bubble3D val="0"/>
            <c:spPr>
              <a:pattFill prst="smCheck">
                <a:fgClr>
                  <a:schemeClr val="tx1"/>
                </a:fgClr>
                <a:bgClr>
                  <a:schemeClr val="bg1"/>
                </a:bgClr>
              </a:pattFill>
              <a:ln w="15875">
                <a:solidFill>
                  <a:schemeClr val="tx1">
                    <a:lumMod val="65000"/>
                    <a:lumOff val="35000"/>
                  </a:schemeClr>
                </a:solidFill>
              </a:ln>
              <a:effectLst/>
            </c:spPr>
            <c:extLst>
              <c:ext xmlns:c16="http://schemas.microsoft.com/office/drawing/2014/chart" uri="{C3380CC4-5D6E-409C-BE32-E72D297353CC}">
                <c16:uniqueId val="{00000007-3B24-4686-A60D-963957075195}"/>
              </c:ext>
            </c:extLst>
          </c:dPt>
          <c:dPt>
            <c:idx val="6"/>
            <c:invertIfNegative val="0"/>
            <c:bubble3D val="0"/>
            <c:spPr>
              <a:pattFill prst="ltHorz">
                <a:fgClr>
                  <a:schemeClr val="tx1"/>
                </a:fgClr>
                <a:bgClr>
                  <a:schemeClr val="bg1"/>
                </a:bgClr>
              </a:pattFill>
              <a:ln w="15875">
                <a:solidFill>
                  <a:schemeClr val="tx1">
                    <a:lumMod val="65000"/>
                    <a:lumOff val="35000"/>
                  </a:schemeClr>
                </a:solidFill>
              </a:ln>
              <a:effectLst/>
            </c:spPr>
            <c:extLst>
              <c:ext xmlns:c16="http://schemas.microsoft.com/office/drawing/2014/chart" uri="{C3380CC4-5D6E-409C-BE32-E72D297353CC}">
                <c16:uniqueId val="{00000009-3B24-4686-A60D-963957075195}"/>
              </c:ext>
            </c:extLst>
          </c:dPt>
          <c:dPt>
            <c:idx val="7"/>
            <c:invertIfNegative val="0"/>
            <c:bubble3D val="0"/>
            <c:spPr>
              <a:pattFill prst="ltVert">
                <a:fgClr>
                  <a:schemeClr val="tx1"/>
                </a:fgClr>
                <a:bgClr>
                  <a:schemeClr val="bg1"/>
                </a:bgClr>
              </a:pattFill>
              <a:ln w="15875">
                <a:solidFill>
                  <a:schemeClr val="tx1">
                    <a:lumMod val="65000"/>
                    <a:lumOff val="35000"/>
                  </a:schemeClr>
                </a:solidFill>
              </a:ln>
              <a:effectLst/>
            </c:spPr>
            <c:extLst>
              <c:ext xmlns:c16="http://schemas.microsoft.com/office/drawing/2014/chart" uri="{C3380CC4-5D6E-409C-BE32-E72D297353CC}">
                <c16:uniqueId val="{0000000B-3B24-4686-A60D-963957075195}"/>
              </c:ext>
            </c:extLst>
          </c:dPt>
          <c:dPt>
            <c:idx val="9"/>
            <c:invertIfNegative val="0"/>
            <c:bubble3D val="0"/>
            <c:spPr>
              <a:pattFill prst="pct75">
                <a:fgClr>
                  <a:schemeClr val="tx1"/>
                </a:fgClr>
                <a:bgClr>
                  <a:schemeClr val="bg1"/>
                </a:bgClr>
              </a:pattFill>
              <a:ln w="15875">
                <a:solidFill>
                  <a:schemeClr val="tx1">
                    <a:lumMod val="65000"/>
                    <a:lumOff val="35000"/>
                  </a:schemeClr>
                </a:solidFill>
              </a:ln>
              <a:effectLst/>
            </c:spPr>
            <c:extLst>
              <c:ext xmlns:c16="http://schemas.microsoft.com/office/drawing/2014/chart" uri="{C3380CC4-5D6E-409C-BE32-E72D297353CC}">
                <c16:uniqueId val="{0000000D-3B24-4686-A60D-963957075195}"/>
              </c:ext>
            </c:extLst>
          </c:dPt>
          <c:dPt>
            <c:idx val="10"/>
            <c:invertIfNegative val="0"/>
            <c:bubble3D val="0"/>
            <c:spPr>
              <a:pattFill prst="diagBrick">
                <a:fgClr>
                  <a:schemeClr val="tx1"/>
                </a:fgClr>
                <a:bgClr>
                  <a:schemeClr val="bg1"/>
                </a:bgClr>
              </a:pattFill>
              <a:ln w="15875">
                <a:solidFill>
                  <a:schemeClr val="tx1">
                    <a:lumMod val="65000"/>
                    <a:lumOff val="35000"/>
                  </a:schemeClr>
                </a:solidFill>
              </a:ln>
              <a:effectLst/>
            </c:spPr>
            <c:extLst>
              <c:ext xmlns:c16="http://schemas.microsoft.com/office/drawing/2014/chart" uri="{C3380CC4-5D6E-409C-BE32-E72D297353CC}">
                <c16:uniqueId val="{0000000F-3B24-4686-A60D-963957075195}"/>
              </c:ext>
            </c:extLst>
          </c:dPt>
          <c:dLbls>
            <c:dLbl>
              <c:idx val="0"/>
              <c:layout>
                <c:manualLayout>
                  <c:x val="0"/>
                  <c:y val="-3.2407407407407406E-2"/>
                </c:manualLayout>
              </c:layout>
              <c:tx>
                <c:rich>
                  <a:bodyPr/>
                  <a:lstStyle/>
                  <a:p>
                    <a:r>
                      <a:rPr lang="en-US" altLang="zh-CN" dirty="0"/>
                      <a:t>1.106b</a:t>
                    </a:r>
                  </a:p>
                </c:rich>
              </c:tx>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B24-4686-A60D-963957075195}"/>
                </c:ext>
              </c:extLst>
            </c:dLbl>
            <c:dLbl>
              <c:idx val="1"/>
              <c:tx>
                <c:rich>
                  <a:bodyPr/>
                  <a:lstStyle/>
                  <a:p>
                    <a:fld id="{90678BDA-DDBC-45BC-BB0D-5610DA744B3C}" type="VALUE">
                      <a:rPr lang="en-US" altLang="zh-CN" smtClean="0"/>
                      <a:pPr/>
                      <a:t>[值]</a:t>
                    </a:fld>
                    <a:r>
                      <a:rPr lang="en-US" altLang="zh-CN"/>
                      <a:t>a</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3B24-4686-A60D-963957075195}"/>
                </c:ext>
              </c:extLst>
            </c:dLbl>
            <c:dLbl>
              <c:idx val="3"/>
              <c:tx>
                <c:rich>
                  <a:bodyPr/>
                  <a:lstStyle/>
                  <a:p>
                    <a:r>
                      <a:rPr lang="en-US" altLang="zh-CN"/>
                      <a:t>0.294e</a:t>
                    </a:r>
                    <a:endParaRPr lang="en-US" altLang="zh-CN" dirty="0"/>
                  </a:p>
                </c:rich>
              </c:tx>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B24-4686-A60D-963957075195}"/>
                </c:ext>
              </c:extLst>
            </c:dLbl>
            <c:dLbl>
              <c:idx val="4"/>
              <c:tx>
                <c:rich>
                  <a:bodyPr/>
                  <a:lstStyle/>
                  <a:p>
                    <a:fld id="{6D2DF4BC-059F-4EFF-946E-ED60E0D4C4A3}" type="VALUE">
                      <a:rPr lang="en-US" altLang="zh-CN" smtClean="0"/>
                      <a:pPr/>
                      <a:t>[值]</a:t>
                    </a:fld>
                    <a:r>
                      <a:rPr lang="en-US" altLang="zh-CN"/>
                      <a:t>f</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3B24-4686-A60D-963957075195}"/>
                </c:ext>
              </c:extLst>
            </c:dLbl>
            <c:dLbl>
              <c:idx val="6"/>
              <c:tx>
                <c:rich>
                  <a:bodyPr/>
                  <a:lstStyle/>
                  <a:p>
                    <a:fld id="{E5A0FA9A-1758-431F-B8C2-8270F6CD1B03}" type="VALUE">
                      <a:rPr lang="en-US" altLang="zh-CN" smtClean="0"/>
                      <a:pPr/>
                      <a:t>[值]</a:t>
                    </a:fld>
                    <a:r>
                      <a:rPr lang="en-US" altLang="zh-CN"/>
                      <a:t>f</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3B24-4686-A60D-963957075195}"/>
                </c:ext>
              </c:extLst>
            </c:dLbl>
            <c:dLbl>
              <c:idx val="7"/>
              <c:tx>
                <c:rich>
                  <a:bodyPr/>
                  <a:lstStyle/>
                  <a:p>
                    <a:fld id="{B1ADA2EC-AB6A-49F5-AC46-E3D4A3922C58}" type="VALUE">
                      <a:rPr lang="en-US" altLang="zh-CN" smtClean="0"/>
                      <a:pPr/>
                      <a:t>[值]</a:t>
                    </a:fld>
                    <a:r>
                      <a:rPr lang="en-US" altLang="zh-CN"/>
                      <a:t>f</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B-3B24-4686-A60D-963957075195}"/>
                </c:ext>
              </c:extLst>
            </c:dLbl>
            <c:dLbl>
              <c:idx val="9"/>
              <c:tx>
                <c:rich>
                  <a:bodyPr/>
                  <a:lstStyle/>
                  <a:p>
                    <a:fld id="{1B374BCF-EA94-470F-A5B5-4A84BC8C658C}" type="VALUE">
                      <a:rPr lang="en-US" altLang="zh-CN" smtClean="0"/>
                      <a:pPr/>
                      <a:t>[值]</a:t>
                    </a:fld>
                    <a:r>
                      <a:rPr lang="en-US" altLang="zh-CN"/>
                      <a:t>d</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D-3B24-4686-A60D-963957075195}"/>
                </c:ext>
              </c:extLst>
            </c:dLbl>
            <c:dLbl>
              <c:idx val="10"/>
              <c:tx>
                <c:rich>
                  <a:bodyPr/>
                  <a:lstStyle/>
                  <a:p>
                    <a:fld id="{301095F0-0741-4ED7-A705-78A214BF3243}" type="VALUE">
                      <a:rPr lang="en-US" altLang="zh-CN" smtClean="0"/>
                      <a:pPr/>
                      <a:t>[值]</a:t>
                    </a:fld>
                    <a:r>
                      <a:rPr lang="en-US" altLang="zh-CN"/>
                      <a:t>c</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F-3B24-4686-A60D-96395707519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Sheet1!$P$31:$P$41</c:f>
                <c:numCache>
                  <c:formatCode>General</c:formatCode>
                  <c:ptCount val="11"/>
                  <c:pt idx="0">
                    <c:v>0.21099999999999999</c:v>
                  </c:pt>
                  <c:pt idx="1">
                    <c:v>2.3E-2</c:v>
                  </c:pt>
                  <c:pt idx="3">
                    <c:v>4.4999999999999998E-2</c:v>
                  </c:pt>
                  <c:pt idx="4">
                    <c:v>4.0000000000000001E-3</c:v>
                  </c:pt>
                  <c:pt idx="6">
                    <c:v>0.05</c:v>
                  </c:pt>
                  <c:pt idx="7">
                    <c:v>0.03</c:v>
                  </c:pt>
                  <c:pt idx="9">
                    <c:v>1.61E-2</c:v>
                  </c:pt>
                  <c:pt idx="10">
                    <c:v>7.5999999999999998E-2</c:v>
                  </c:pt>
                </c:numCache>
              </c:numRef>
            </c:plus>
            <c:minus>
              <c:numRef>
                <c:f>Sheet1!$P$31:$P$41</c:f>
                <c:numCache>
                  <c:formatCode>General</c:formatCode>
                  <c:ptCount val="11"/>
                  <c:pt idx="0">
                    <c:v>0.21099999999999999</c:v>
                  </c:pt>
                  <c:pt idx="1">
                    <c:v>2.3E-2</c:v>
                  </c:pt>
                  <c:pt idx="3">
                    <c:v>4.4999999999999998E-2</c:v>
                  </c:pt>
                  <c:pt idx="4">
                    <c:v>4.0000000000000001E-3</c:v>
                  </c:pt>
                  <c:pt idx="6">
                    <c:v>0.05</c:v>
                  </c:pt>
                  <c:pt idx="7">
                    <c:v>0.03</c:v>
                  </c:pt>
                  <c:pt idx="9">
                    <c:v>1.61E-2</c:v>
                  </c:pt>
                  <c:pt idx="10">
                    <c:v>7.5999999999999998E-2</c:v>
                  </c:pt>
                </c:numCache>
              </c:numRef>
            </c:minus>
            <c:spPr>
              <a:noFill/>
              <a:ln w="15875" cap="flat" cmpd="sng" algn="ctr">
                <a:solidFill>
                  <a:schemeClr val="tx1">
                    <a:lumMod val="65000"/>
                    <a:lumOff val="35000"/>
                  </a:schemeClr>
                </a:solidFill>
                <a:round/>
              </a:ln>
              <a:effectLst/>
            </c:spPr>
          </c:errBars>
          <c:cat>
            <c:strRef>
              <c:f>Sheet1!$N$31:$N$41</c:f>
              <c:strCache>
                <c:ptCount val="11"/>
                <c:pt idx="0">
                  <c:v>SC9膨大期</c:v>
                </c:pt>
                <c:pt idx="1">
                  <c:v>SC9成熟期</c:v>
                </c:pt>
                <c:pt idx="3">
                  <c:v>SC6068膨大期</c:v>
                </c:pt>
                <c:pt idx="4">
                  <c:v>SC6068成熟期</c:v>
                </c:pt>
                <c:pt idx="6">
                  <c:v>粉红木薯膨大期</c:v>
                </c:pt>
                <c:pt idx="7">
                  <c:v>粉红木薯成熟期</c:v>
                </c:pt>
                <c:pt idx="9">
                  <c:v>紫叶黄心木薯膨大期</c:v>
                </c:pt>
                <c:pt idx="10">
                  <c:v>紫叶黄心木薯成熟期</c:v>
                </c:pt>
              </c:strCache>
            </c:strRef>
          </c:cat>
          <c:val>
            <c:numRef>
              <c:f>Sheet1!$O$31:$O$41</c:f>
              <c:numCache>
                <c:formatCode>General</c:formatCode>
                <c:ptCount val="11"/>
                <c:pt idx="0">
                  <c:v>1.1060000000000001</c:v>
                </c:pt>
                <c:pt idx="1">
                  <c:v>1.901</c:v>
                </c:pt>
                <c:pt idx="3">
                  <c:v>0.29399999999999998</c:v>
                </c:pt>
                <c:pt idx="4">
                  <c:v>0.16800000000000001</c:v>
                </c:pt>
                <c:pt idx="6">
                  <c:v>0.19800000000000001</c:v>
                </c:pt>
                <c:pt idx="7">
                  <c:v>0.159</c:v>
                </c:pt>
                <c:pt idx="9">
                  <c:v>0.65200000000000002</c:v>
                </c:pt>
                <c:pt idx="10">
                  <c:v>0.81200000000000006</c:v>
                </c:pt>
              </c:numCache>
            </c:numRef>
          </c:val>
          <c:extLst>
            <c:ext xmlns:c16="http://schemas.microsoft.com/office/drawing/2014/chart" uri="{C3380CC4-5D6E-409C-BE32-E72D297353CC}">
              <c16:uniqueId val="{00000010-3B24-4686-A60D-963957075195}"/>
            </c:ext>
          </c:extLst>
        </c:ser>
        <c:dLbls>
          <c:dLblPos val="outEnd"/>
          <c:showLegendKey val="0"/>
          <c:showVal val="1"/>
          <c:showCatName val="0"/>
          <c:showSerName val="0"/>
          <c:showPercent val="0"/>
          <c:showBubbleSize val="0"/>
        </c:dLbls>
        <c:gapWidth val="0"/>
        <c:overlap val="-27"/>
        <c:axId val="420429088"/>
        <c:axId val="420422200"/>
      </c:barChart>
      <c:catAx>
        <c:axId val="420429088"/>
        <c:scaling>
          <c:orientation val="minMax"/>
        </c:scaling>
        <c:delete val="0"/>
        <c:axPos val="b"/>
        <c:numFmt formatCode="General" sourceLinked="1"/>
        <c:majorTickMark val="in"/>
        <c:minorTickMark val="none"/>
        <c:tickLblPos val="nextTo"/>
        <c:spPr>
          <a:noFill/>
          <a:ln w="1587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420422200"/>
        <c:crosses val="autoZero"/>
        <c:auto val="1"/>
        <c:lblAlgn val="ctr"/>
        <c:lblOffset val="100"/>
        <c:noMultiLvlLbl val="0"/>
      </c:catAx>
      <c:valAx>
        <c:axId val="42042220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l-GR" altLang="zh-CN"/>
                  <a:t>β-</a:t>
                </a:r>
                <a:r>
                  <a:rPr lang="zh-CN" altLang="en-US"/>
                  <a:t>类胡萝卜素含量</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zh-CN"/>
            </a:p>
          </c:txPr>
        </c:title>
        <c:numFmt formatCode="General" sourceLinked="1"/>
        <c:majorTickMark val="in"/>
        <c:minorTickMark val="none"/>
        <c:tickLblPos val="nextTo"/>
        <c:spPr>
          <a:noFill/>
          <a:ln w="15875">
            <a:solidFill>
              <a:schemeClr val="tx1">
                <a:lumMod val="65000"/>
                <a:lumOff val="3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4204290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ltLang="zh-CN"/>
              <a:t>Actin</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barChart>
        <c:barDir val="col"/>
        <c:grouping val="clustered"/>
        <c:varyColors val="0"/>
        <c:ser>
          <c:idx val="0"/>
          <c:order val="0"/>
          <c:spPr>
            <a:solidFill>
              <a:schemeClr val="accent1"/>
            </a:solidFill>
            <a:ln w="15875">
              <a:solidFill>
                <a:schemeClr val="tx1"/>
              </a:solidFill>
            </a:ln>
            <a:effectLst/>
          </c:spPr>
          <c:invertIfNegative val="0"/>
          <c:dPt>
            <c:idx val="0"/>
            <c:invertIfNegative val="0"/>
            <c:bubble3D val="0"/>
            <c:spPr>
              <a:pattFill prst="ltDnDiag">
                <a:fgClr>
                  <a:schemeClr val="tx1"/>
                </a:fgClr>
                <a:bgClr>
                  <a:schemeClr val="bg1"/>
                </a:bgClr>
              </a:pattFill>
              <a:ln w="15875">
                <a:solidFill>
                  <a:schemeClr val="tx1"/>
                </a:solidFill>
              </a:ln>
              <a:effectLst/>
            </c:spPr>
            <c:extLst>
              <c:ext xmlns:c16="http://schemas.microsoft.com/office/drawing/2014/chart" uri="{C3380CC4-5D6E-409C-BE32-E72D297353CC}">
                <c16:uniqueId val="{00000001-BC96-4B88-895D-D41FA4A5B943}"/>
              </c:ext>
            </c:extLst>
          </c:dPt>
          <c:dPt>
            <c:idx val="1"/>
            <c:invertIfNegative val="0"/>
            <c:bubble3D val="0"/>
            <c:spPr>
              <a:pattFill prst="pct50">
                <a:fgClr>
                  <a:schemeClr val="tx1"/>
                </a:fgClr>
                <a:bgClr>
                  <a:schemeClr val="bg1"/>
                </a:bgClr>
              </a:pattFill>
              <a:ln w="15875">
                <a:solidFill>
                  <a:schemeClr val="tx1"/>
                </a:solidFill>
              </a:ln>
              <a:effectLst/>
            </c:spPr>
            <c:extLst>
              <c:ext xmlns:c16="http://schemas.microsoft.com/office/drawing/2014/chart" uri="{C3380CC4-5D6E-409C-BE32-E72D297353CC}">
                <c16:uniqueId val="{00000003-BC96-4B88-895D-D41FA4A5B943}"/>
              </c:ext>
            </c:extLst>
          </c:dPt>
          <c:dPt>
            <c:idx val="3"/>
            <c:invertIfNegative val="0"/>
            <c:bubble3D val="0"/>
            <c:spPr>
              <a:pattFill prst="pct5">
                <a:fgClr>
                  <a:schemeClr val="tx1"/>
                </a:fgClr>
                <a:bgClr>
                  <a:schemeClr val="bg1"/>
                </a:bgClr>
              </a:pattFill>
              <a:ln w="15875">
                <a:solidFill>
                  <a:schemeClr val="tx1"/>
                </a:solidFill>
              </a:ln>
              <a:effectLst/>
            </c:spPr>
            <c:extLst>
              <c:ext xmlns:c16="http://schemas.microsoft.com/office/drawing/2014/chart" uri="{C3380CC4-5D6E-409C-BE32-E72D297353CC}">
                <c16:uniqueId val="{00000005-BC96-4B88-895D-D41FA4A5B943}"/>
              </c:ext>
            </c:extLst>
          </c:dPt>
          <c:dPt>
            <c:idx val="4"/>
            <c:invertIfNegative val="0"/>
            <c:bubble3D val="0"/>
            <c:spPr>
              <a:pattFill prst="smCheck">
                <a:fgClr>
                  <a:schemeClr val="tx1"/>
                </a:fgClr>
                <a:bgClr>
                  <a:schemeClr val="bg1"/>
                </a:bgClr>
              </a:pattFill>
              <a:ln w="15875">
                <a:solidFill>
                  <a:schemeClr val="tx1"/>
                </a:solidFill>
              </a:ln>
              <a:effectLst/>
            </c:spPr>
            <c:extLst>
              <c:ext xmlns:c16="http://schemas.microsoft.com/office/drawing/2014/chart" uri="{C3380CC4-5D6E-409C-BE32-E72D297353CC}">
                <c16:uniqueId val="{00000007-BC96-4B88-895D-D41FA4A5B943}"/>
              </c:ext>
            </c:extLst>
          </c:dPt>
          <c:dPt>
            <c:idx val="6"/>
            <c:invertIfNegative val="0"/>
            <c:bubble3D val="0"/>
            <c:spPr>
              <a:pattFill prst="ltHorz">
                <a:fgClr>
                  <a:schemeClr val="tx1"/>
                </a:fgClr>
                <a:bgClr>
                  <a:schemeClr val="bg1"/>
                </a:bgClr>
              </a:pattFill>
              <a:ln w="15875">
                <a:solidFill>
                  <a:schemeClr val="tx1"/>
                </a:solidFill>
              </a:ln>
              <a:effectLst/>
            </c:spPr>
            <c:extLst>
              <c:ext xmlns:c16="http://schemas.microsoft.com/office/drawing/2014/chart" uri="{C3380CC4-5D6E-409C-BE32-E72D297353CC}">
                <c16:uniqueId val="{00000009-BC96-4B88-895D-D41FA4A5B943}"/>
              </c:ext>
            </c:extLst>
          </c:dPt>
          <c:dPt>
            <c:idx val="7"/>
            <c:invertIfNegative val="0"/>
            <c:bubble3D val="0"/>
            <c:spPr>
              <a:pattFill prst="narVert">
                <a:fgClr>
                  <a:schemeClr val="tx1"/>
                </a:fgClr>
                <a:bgClr>
                  <a:schemeClr val="bg1"/>
                </a:bgClr>
              </a:pattFill>
              <a:ln w="15875">
                <a:solidFill>
                  <a:schemeClr val="tx1"/>
                </a:solidFill>
              </a:ln>
              <a:effectLst/>
            </c:spPr>
            <c:extLst>
              <c:ext xmlns:c16="http://schemas.microsoft.com/office/drawing/2014/chart" uri="{C3380CC4-5D6E-409C-BE32-E72D297353CC}">
                <c16:uniqueId val="{0000000B-BC96-4B88-895D-D41FA4A5B943}"/>
              </c:ext>
            </c:extLst>
          </c:dPt>
          <c:dPt>
            <c:idx val="9"/>
            <c:invertIfNegative val="0"/>
            <c:bubble3D val="0"/>
            <c:spPr>
              <a:pattFill prst="pct75">
                <a:fgClr>
                  <a:schemeClr val="tx1"/>
                </a:fgClr>
                <a:bgClr>
                  <a:schemeClr val="bg1"/>
                </a:bgClr>
              </a:pattFill>
              <a:ln w="15875">
                <a:solidFill>
                  <a:schemeClr val="tx1"/>
                </a:solidFill>
              </a:ln>
              <a:effectLst/>
            </c:spPr>
            <c:extLst>
              <c:ext xmlns:c16="http://schemas.microsoft.com/office/drawing/2014/chart" uri="{C3380CC4-5D6E-409C-BE32-E72D297353CC}">
                <c16:uniqueId val="{0000000D-BC96-4B88-895D-D41FA4A5B943}"/>
              </c:ext>
            </c:extLst>
          </c:dPt>
          <c:dPt>
            <c:idx val="10"/>
            <c:invertIfNegative val="0"/>
            <c:bubble3D val="0"/>
            <c:spPr>
              <a:pattFill prst="diagBrick">
                <a:fgClr>
                  <a:schemeClr val="tx1"/>
                </a:fgClr>
                <a:bgClr>
                  <a:schemeClr val="bg1"/>
                </a:bgClr>
              </a:pattFill>
              <a:ln w="15875">
                <a:solidFill>
                  <a:schemeClr val="tx1"/>
                </a:solidFill>
              </a:ln>
              <a:effectLst/>
            </c:spPr>
            <c:extLst>
              <c:ext xmlns:c16="http://schemas.microsoft.com/office/drawing/2014/chart" uri="{C3380CC4-5D6E-409C-BE32-E72D297353CC}">
                <c16:uniqueId val="{0000000F-BC96-4B88-895D-D41FA4A5B94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cust"/>
            <c:noEndCap val="0"/>
            <c:plus>
              <c:numRef>
                <c:f>Sheet1!$Z$73:$Z$83</c:f>
                <c:numCache>
                  <c:formatCode>General</c:formatCode>
                  <c:ptCount val="11"/>
                  <c:pt idx="0">
                    <c:v>0.19400000000000001</c:v>
                  </c:pt>
                  <c:pt idx="1">
                    <c:v>0.08</c:v>
                  </c:pt>
                  <c:pt idx="3">
                    <c:v>0.48499999999999999</c:v>
                  </c:pt>
                  <c:pt idx="4">
                    <c:v>0.114</c:v>
                  </c:pt>
                  <c:pt idx="6">
                    <c:v>0.1</c:v>
                  </c:pt>
                  <c:pt idx="7">
                    <c:v>0.05</c:v>
                  </c:pt>
                  <c:pt idx="9">
                    <c:v>8.5000000000000006E-2</c:v>
                  </c:pt>
                  <c:pt idx="10">
                    <c:v>0.28799999999999998</c:v>
                  </c:pt>
                </c:numCache>
              </c:numRef>
            </c:plus>
            <c:minus>
              <c:numRef>
                <c:f>Sheet1!$Z$73:$Z$83</c:f>
                <c:numCache>
                  <c:formatCode>General</c:formatCode>
                  <c:ptCount val="11"/>
                  <c:pt idx="0">
                    <c:v>0.19400000000000001</c:v>
                  </c:pt>
                  <c:pt idx="1">
                    <c:v>0.08</c:v>
                  </c:pt>
                  <c:pt idx="3">
                    <c:v>0.48499999999999999</c:v>
                  </c:pt>
                  <c:pt idx="4">
                    <c:v>0.114</c:v>
                  </c:pt>
                  <c:pt idx="6">
                    <c:v>0.1</c:v>
                  </c:pt>
                  <c:pt idx="7">
                    <c:v>0.05</c:v>
                  </c:pt>
                  <c:pt idx="9">
                    <c:v>8.5000000000000006E-2</c:v>
                  </c:pt>
                  <c:pt idx="10">
                    <c:v>0.28799999999999998</c:v>
                  </c:pt>
                </c:numCache>
              </c:numRef>
            </c:minus>
            <c:spPr>
              <a:noFill/>
              <a:ln w="15875" cap="flat" cmpd="sng" algn="ctr">
                <a:solidFill>
                  <a:schemeClr val="tx1">
                    <a:lumMod val="65000"/>
                    <a:lumOff val="35000"/>
                  </a:schemeClr>
                </a:solidFill>
                <a:round/>
              </a:ln>
              <a:effectLst/>
            </c:spPr>
          </c:errBars>
          <c:cat>
            <c:strRef>
              <c:f>Sheet1!$X$73:$X$83</c:f>
              <c:strCache>
                <c:ptCount val="11"/>
                <c:pt idx="0">
                  <c:v>SC9膨大期</c:v>
                </c:pt>
                <c:pt idx="1">
                  <c:v>SC9成熟期</c:v>
                </c:pt>
                <c:pt idx="3">
                  <c:v>6068膨大期</c:v>
                </c:pt>
                <c:pt idx="4">
                  <c:v>6068成熟期</c:v>
                </c:pt>
                <c:pt idx="6">
                  <c:v>粉红木薯膨大期</c:v>
                </c:pt>
                <c:pt idx="7">
                  <c:v>粉红木薯成熟期</c:v>
                </c:pt>
                <c:pt idx="9">
                  <c:v>紫叶黄心膨大期</c:v>
                </c:pt>
                <c:pt idx="10">
                  <c:v>紫叶黄心成熟期</c:v>
                </c:pt>
              </c:strCache>
            </c:strRef>
          </c:cat>
          <c:val>
            <c:numRef>
              <c:f>Sheet1!$Y$73:$Y$83</c:f>
              <c:numCache>
                <c:formatCode>General</c:formatCode>
                <c:ptCount val="11"/>
                <c:pt idx="0">
                  <c:v>12.644</c:v>
                </c:pt>
                <c:pt idx="1">
                  <c:v>12.236000000000001</c:v>
                </c:pt>
                <c:pt idx="3">
                  <c:v>12.920999999999999</c:v>
                </c:pt>
                <c:pt idx="4">
                  <c:v>12.739000000000001</c:v>
                </c:pt>
                <c:pt idx="6">
                  <c:v>13.538</c:v>
                </c:pt>
                <c:pt idx="7">
                  <c:v>13.643000000000001</c:v>
                </c:pt>
                <c:pt idx="9">
                  <c:v>13.327</c:v>
                </c:pt>
                <c:pt idx="10">
                  <c:v>13.487</c:v>
                </c:pt>
              </c:numCache>
            </c:numRef>
          </c:val>
          <c:extLst>
            <c:ext xmlns:c16="http://schemas.microsoft.com/office/drawing/2014/chart" uri="{C3380CC4-5D6E-409C-BE32-E72D297353CC}">
              <c16:uniqueId val="{00000010-BC96-4B88-895D-D41FA4A5B943}"/>
            </c:ext>
          </c:extLst>
        </c:ser>
        <c:dLbls>
          <c:dLblPos val="outEnd"/>
          <c:showLegendKey val="0"/>
          <c:showVal val="1"/>
          <c:showCatName val="0"/>
          <c:showSerName val="0"/>
          <c:showPercent val="0"/>
          <c:showBubbleSize val="0"/>
        </c:dLbls>
        <c:gapWidth val="0"/>
        <c:overlap val="-27"/>
        <c:axId val="462631168"/>
        <c:axId val="14686272"/>
      </c:barChart>
      <c:catAx>
        <c:axId val="462631168"/>
        <c:scaling>
          <c:orientation val="minMax"/>
        </c:scaling>
        <c:delete val="0"/>
        <c:axPos val="b"/>
        <c:numFmt formatCode="General" sourceLinked="1"/>
        <c:majorTickMark val="in"/>
        <c:minorTickMark val="none"/>
        <c:tickLblPos val="nextTo"/>
        <c:spPr>
          <a:noFill/>
          <a:ln w="1587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686272"/>
        <c:crosses val="autoZero"/>
        <c:auto val="1"/>
        <c:lblAlgn val="ctr"/>
        <c:lblOffset val="100"/>
        <c:noMultiLvlLbl val="0"/>
      </c:catAx>
      <c:valAx>
        <c:axId val="14686272"/>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zh-CN" altLang="en-US"/>
                  <a:t>相对表达量</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zh-CN"/>
            </a:p>
          </c:txPr>
        </c:title>
        <c:numFmt formatCode="General" sourceLinked="1"/>
        <c:majorTickMark val="in"/>
        <c:minorTickMark val="none"/>
        <c:tickLblPos val="nextTo"/>
        <c:spPr>
          <a:noFill/>
          <a:ln w="15875">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4626311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ltLang="zh-CN"/>
              <a:t>HSP70</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barChart>
        <c:barDir val="col"/>
        <c:grouping val="clustered"/>
        <c:varyColors val="0"/>
        <c:ser>
          <c:idx val="0"/>
          <c:order val="0"/>
          <c:spPr>
            <a:solidFill>
              <a:schemeClr val="accent1"/>
            </a:solidFill>
            <a:ln w="15875">
              <a:solidFill>
                <a:schemeClr val="tx1"/>
              </a:solidFill>
            </a:ln>
            <a:effectLst/>
          </c:spPr>
          <c:invertIfNegative val="0"/>
          <c:dPt>
            <c:idx val="0"/>
            <c:invertIfNegative val="0"/>
            <c:bubble3D val="0"/>
            <c:spPr>
              <a:pattFill prst="ltDnDiag">
                <a:fgClr>
                  <a:schemeClr val="tx1"/>
                </a:fgClr>
                <a:bgClr>
                  <a:schemeClr val="bg1"/>
                </a:bgClr>
              </a:pattFill>
              <a:ln w="15875">
                <a:solidFill>
                  <a:schemeClr val="tx1"/>
                </a:solidFill>
              </a:ln>
              <a:effectLst/>
            </c:spPr>
            <c:extLst>
              <c:ext xmlns:c16="http://schemas.microsoft.com/office/drawing/2014/chart" uri="{C3380CC4-5D6E-409C-BE32-E72D297353CC}">
                <c16:uniqueId val="{00000001-1E2A-4B88-89C0-F01E23097685}"/>
              </c:ext>
            </c:extLst>
          </c:dPt>
          <c:dPt>
            <c:idx val="1"/>
            <c:invertIfNegative val="0"/>
            <c:bubble3D val="0"/>
            <c:spPr>
              <a:pattFill prst="pct50">
                <a:fgClr>
                  <a:schemeClr val="tx1"/>
                </a:fgClr>
                <a:bgClr>
                  <a:schemeClr val="bg1"/>
                </a:bgClr>
              </a:pattFill>
              <a:ln w="15875">
                <a:solidFill>
                  <a:schemeClr val="tx1"/>
                </a:solidFill>
              </a:ln>
              <a:effectLst/>
            </c:spPr>
            <c:extLst>
              <c:ext xmlns:c16="http://schemas.microsoft.com/office/drawing/2014/chart" uri="{C3380CC4-5D6E-409C-BE32-E72D297353CC}">
                <c16:uniqueId val="{00000003-1E2A-4B88-89C0-F01E23097685}"/>
              </c:ext>
            </c:extLst>
          </c:dPt>
          <c:dPt>
            <c:idx val="3"/>
            <c:invertIfNegative val="0"/>
            <c:bubble3D val="0"/>
            <c:spPr>
              <a:pattFill prst="pct5">
                <a:fgClr>
                  <a:schemeClr val="tx1"/>
                </a:fgClr>
                <a:bgClr>
                  <a:schemeClr val="bg1"/>
                </a:bgClr>
              </a:pattFill>
              <a:ln w="15875">
                <a:solidFill>
                  <a:schemeClr val="tx1"/>
                </a:solidFill>
              </a:ln>
              <a:effectLst/>
            </c:spPr>
            <c:extLst>
              <c:ext xmlns:c16="http://schemas.microsoft.com/office/drawing/2014/chart" uri="{C3380CC4-5D6E-409C-BE32-E72D297353CC}">
                <c16:uniqueId val="{00000005-1E2A-4B88-89C0-F01E23097685}"/>
              </c:ext>
            </c:extLst>
          </c:dPt>
          <c:dPt>
            <c:idx val="4"/>
            <c:invertIfNegative val="0"/>
            <c:bubble3D val="0"/>
            <c:spPr>
              <a:pattFill prst="smCheck">
                <a:fgClr>
                  <a:schemeClr val="tx1"/>
                </a:fgClr>
                <a:bgClr>
                  <a:schemeClr val="bg1"/>
                </a:bgClr>
              </a:pattFill>
              <a:ln w="15875">
                <a:solidFill>
                  <a:schemeClr val="tx1"/>
                </a:solidFill>
              </a:ln>
              <a:effectLst/>
            </c:spPr>
            <c:extLst>
              <c:ext xmlns:c16="http://schemas.microsoft.com/office/drawing/2014/chart" uri="{C3380CC4-5D6E-409C-BE32-E72D297353CC}">
                <c16:uniqueId val="{00000007-1E2A-4B88-89C0-F01E23097685}"/>
              </c:ext>
            </c:extLst>
          </c:dPt>
          <c:dPt>
            <c:idx val="6"/>
            <c:invertIfNegative val="0"/>
            <c:bubble3D val="0"/>
            <c:spPr>
              <a:pattFill prst="ltHorz">
                <a:fgClr>
                  <a:schemeClr val="tx1"/>
                </a:fgClr>
                <a:bgClr>
                  <a:schemeClr val="bg1"/>
                </a:bgClr>
              </a:pattFill>
              <a:ln w="15875">
                <a:solidFill>
                  <a:schemeClr val="tx1"/>
                </a:solidFill>
              </a:ln>
              <a:effectLst/>
            </c:spPr>
            <c:extLst>
              <c:ext xmlns:c16="http://schemas.microsoft.com/office/drawing/2014/chart" uri="{C3380CC4-5D6E-409C-BE32-E72D297353CC}">
                <c16:uniqueId val="{00000009-1E2A-4B88-89C0-F01E23097685}"/>
              </c:ext>
            </c:extLst>
          </c:dPt>
          <c:dPt>
            <c:idx val="7"/>
            <c:invertIfNegative val="0"/>
            <c:bubble3D val="0"/>
            <c:spPr>
              <a:pattFill prst="narVert">
                <a:fgClr>
                  <a:schemeClr val="tx1"/>
                </a:fgClr>
                <a:bgClr>
                  <a:schemeClr val="bg1"/>
                </a:bgClr>
              </a:pattFill>
              <a:ln w="15875">
                <a:solidFill>
                  <a:schemeClr val="tx1"/>
                </a:solidFill>
              </a:ln>
              <a:effectLst/>
            </c:spPr>
            <c:extLst>
              <c:ext xmlns:c16="http://schemas.microsoft.com/office/drawing/2014/chart" uri="{C3380CC4-5D6E-409C-BE32-E72D297353CC}">
                <c16:uniqueId val="{0000000B-1E2A-4B88-89C0-F01E23097685}"/>
              </c:ext>
            </c:extLst>
          </c:dPt>
          <c:dPt>
            <c:idx val="9"/>
            <c:invertIfNegative val="0"/>
            <c:bubble3D val="0"/>
            <c:spPr>
              <a:pattFill prst="pct75">
                <a:fgClr>
                  <a:schemeClr val="tx1"/>
                </a:fgClr>
                <a:bgClr>
                  <a:schemeClr val="bg1"/>
                </a:bgClr>
              </a:pattFill>
              <a:ln w="15875">
                <a:solidFill>
                  <a:schemeClr val="tx1"/>
                </a:solidFill>
              </a:ln>
              <a:effectLst/>
            </c:spPr>
            <c:extLst>
              <c:ext xmlns:c16="http://schemas.microsoft.com/office/drawing/2014/chart" uri="{C3380CC4-5D6E-409C-BE32-E72D297353CC}">
                <c16:uniqueId val="{0000000D-1E2A-4B88-89C0-F01E23097685}"/>
              </c:ext>
            </c:extLst>
          </c:dPt>
          <c:dPt>
            <c:idx val="10"/>
            <c:invertIfNegative val="0"/>
            <c:bubble3D val="0"/>
            <c:spPr>
              <a:pattFill prst="diagBrick">
                <a:fgClr>
                  <a:schemeClr val="tx1"/>
                </a:fgClr>
                <a:bgClr>
                  <a:schemeClr val="bg1"/>
                </a:bgClr>
              </a:pattFill>
              <a:ln w="15875">
                <a:solidFill>
                  <a:schemeClr val="tx1"/>
                </a:solidFill>
              </a:ln>
              <a:effectLst/>
            </c:spPr>
            <c:extLst>
              <c:ext xmlns:c16="http://schemas.microsoft.com/office/drawing/2014/chart" uri="{C3380CC4-5D6E-409C-BE32-E72D297353CC}">
                <c16:uniqueId val="{0000000F-1E2A-4B88-89C0-F01E23097685}"/>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cust"/>
            <c:noEndCap val="0"/>
            <c:plus>
              <c:numRef>
                <c:f>Sheet1!$Z$22:$Z$32</c:f>
                <c:numCache>
                  <c:formatCode>General</c:formatCode>
                  <c:ptCount val="11"/>
                  <c:pt idx="0">
                    <c:v>0.33</c:v>
                  </c:pt>
                  <c:pt idx="1">
                    <c:v>0.33</c:v>
                  </c:pt>
                  <c:pt idx="3">
                    <c:v>7.0000000000000007E-2</c:v>
                  </c:pt>
                  <c:pt idx="4">
                    <c:v>0.1338</c:v>
                  </c:pt>
                  <c:pt idx="6">
                    <c:v>0.17699999999999999</c:v>
                  </c:pt>
                  <c:pt idx="7">
                    <c:v>0.17199999999999999</c:v>
                  </c:pt>
                  <c:pt idx="9">
                    <c:v>0.32100000000000001</c:v>
                  </c:pt>
                  <c:pt idx="10">
                    <c:v>0.11219999999999999</c:v>
                  </c:pt>
                </c:numCache>
              </c:numRef>
            </c:plus>
            <c:minus>
              <c:numRef>
                <c:f>Sheet1!$Z$22:$Z$32</c:f>
                <c:numCache>
                  <c:formatCode>General</c:formatCode>
                  <c:ptCount val="11"/>
                  <c:pt idx="0">
                    <c:v>0.33</c:v>
                  </c:pt>
                  <c:pt idx="1">
                    <c:v>0.33</c:v>
                  </c:pt>
                  <c:pt idx="3">
                    <c:v>7.0000000000000007E-2</c:v>
                  </c:pt>
                  <c:pt idx="4">
                    <c:v>0.1338</c:v>
                  </c:pt>
                  <c:pt idx="6">
                    <c:v>0.17699999999999999</c:v>
                  </c:pt>
                  <c:pt idx="7">
                    <c:v>0.17199999999999999</c:v>
                  </c:pt>
                  <c:pt idx="9">
                    <c:v>0.32100000000000001</c:v>
                  </c:pt>
                  <c:pt idx="10">
                    <c:v>0.11219999999999999</c:v>
                  </c:pt>
                </c:numCache>
              </c:numRef>
            </c:minus>
            <c:spPr>
              <a:noFill/>
              <a:ln w="15875" cap="flat" cmpd="sng" algn="ctr">
                <a:solidFill>
                  <a:schemeClr val="tx1">
                    <a:lumMod val="65000"/>
                    <a:lumOff val="35000"/>
                  </a:schemeClr>
                </a:solidFill>
                <a:round/>
              </a:ln>
              <a:effectLst/>
            </c:spPr>
          </c:errBars>
          <c:cat>
            <c:strRef>
              <c:f>Sheet1!$X$22:$X$32</c:f>
              <c:strCache>
                <c:ptCount val="11"/>
                <c:pt idx="0">
                  <c:v>SC9膨大期</c:v>
                </c:pt>
                <c:pt idx="1">
                  <c:v>SC9成熟期</c:v>
                </c:pt>
                <c:pt idx="3">
                  <c:v>6068膨大期</c:v>
                </c:pt>
                <c:pt idx="4">
                  <c:v>6068成熟期</c:v>
                </c:pt>
                <c:pt idx="6">
                  <c:v>粉红木薯膨大期</c:v>
                </c:pt>
                <c:pt idx="7">
                  <c:v>粉红木薯成熟期</c:v>
                </c:pt>
                <c:pt idx="9">
                  <c:v>紫叶黄心膨大期</c:v>
                </c:pt>
                <c:pt idx="10">
                  <c:v>紫叶黄心成熟期</c:v>
                </c:pt>
              </c:strCache>
            </c:strRef>
          </c:cat>
          <c:val>
            <c:numRef>
              <c:f>Sheet1!$Y$22:$Y$32</c:f>
              <c:numCache>
                <c:formatCode>General</c:formatCode>
                <c:ptCount val="11"/>
                <c:pt idx="0">
                  <c:v>14.904</c:v>
                </c:pt>
                <c:pt idx="1">
                  <c:v>12.23</c:v>
                </c:pt>
                <c:pt idx="3">
                  <c:v>13.295</c:v>
                </c:pt>
                <c:pt idx="4">
                  <c:v>12.901</c:v>
                </c:pt>
                <c:pt idx="6">
                  <c:v>11.234</c:v>
                </c:pt>
                <c:pt idx="7">
                  <c:v>8.1470000000000002</c:v>
                </c:pt>
                <c:pt idx="9">
                  <c:v>14.867000000000001</c:v>
                </c:pt>
                <c:pt idx="10">
                  <c:v>12.420999999999999</c:v>
                </c:pt>
              </c:numCache>
            </c:numRef>
          </c:val>
          <c:extLst>
            <c:ext xmlns:c16="http://schemas.microsoft.com/office/drawing/2014/chart" uri="{C3380CC4-5D6E-409C-BE32-E72D297353CC}">
              <c16:uniqueId val="{00000010-1E2A-4B88-89C0-F01E23097685}"/>
            </c:ext>
          </c:extLst>
        </c:ser>
        <c:dLbls>
          <c:dLblPos val="outEnd"/>
          <c:showLegendKey val="0"/>
          <c:showVal val="1"/>
          <c:showCatName val="0"/>
          <c:showSerName val="0"/>
          <c:showPercent val="0"/>
          <c:showBubbleSize val="0"/>
        </c:dLbls>
        <c:gapWidth val="0"/>
        <c:overlap val="-27"/>
        <c:axId val="1643466928"/>
        <c:axId val="1643467344"/>
      </c:barChart>
      <c:catAx>
        <c:axId val="1643466928"/>
        <c:scaling>
          <c:orientation val="minMax"/>
        </c:scaling>
        <c:delete val="0"/>
        <c:axPos val="b"/>
        <c:numFmt formatCode="General" sourceLinked="1"/>
        <c:majorTickMark val="in"/>
        <c:minorTickMark val="none"/>
        <c:tickLblPos val="nextTo"/>
        <c:spPr>
          <a:noFill/>
          <a:ln w="1587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643467344"/>
        <c:crosses val="autoZero"/>
        <c:auto val="1"/>
        <c:lblAlgn val="ctr"/>
        <c:lblOffset val="100"/>
        <c:noMultiLvlLbl val="0"/>
      </c:catAx>
      <c:valAx>
        <c:axId val="1643467344"/>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zh-CN" altLang="en-US"/>
                  <a:t>相对表达量</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zh-CN"/>
            </a:p>
          </c:txPr>
        </c:title>
        <c:numFmt formatCode="General" sourceLinked="1"/>
        <c:majorTickMark val="in"/>
        <c:minorTickMark val="none"/>
        <c:tickLblPos val="nextTo"/>
        <c:spPr>
          <a:noFill/>
          <a:ln w="15875">
            <a:solidFill>
              <a:schemeClr val="tx1">
                <a:lumMod val="65000"/>
                <a:lumOff val="3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6434669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ltLang="zh-CN"/>
              <a:t>GR</a:t>
            </a:r>
            <a:endParaRPr lang="zh-CN" alt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barChart>
        <c:barDir val="col"/>
        <c:grouping val="clustered"/>
        <c:varyColors val="0"/>
        <c:ser>
          <c:idx val="0"/>
          <c:order val="0"/>
          <c:spPr>
            <a:solidFill>
              <a:schemeClr val="accent1"/>
            </a:solidFill>
            <a:ln w="15875">
              <a:solidFill>
                <a:schemeClr val="tx1"/>
              </a:solidFill>
            </a:ln>
            <a:effectLst/>
          </c:spPr>
          <c:invertIfNegative val="0"/>
          <c:dPt>
            <c:idx val="0"/>
            <c:invertIfNegative val="0"/>
            <c:bubble3D val="0"/>
            <c:spPr>
              <a:pattFill prst="ltDnDiag">
                <a:fgClr>
                  <a:schemeClr val="tx1"/>
                </a:fgClr>
                <a:bgClr>
                  <a:schemeClr val="bg1"/>
                </a:bgClr>
              </a:pattFill>
              <a:ln w="15875">
                <a:solidFill>
                  <a:schemeClr val="tx1"/>
                </a:solidFill>
              </a:ln>
              <a:effectLst/>
            </c:spPr>
            <c:extLst>
              <c:ext xmlns:c16="http://schemas.microsoft.com/office/drawing/2014/chart" uri="{C3380CC4-5D6E-409C-BE32-E72D297353CC}">
                <c16:uniqueId val="{00000001-F006-4F30-8BA0-24ADE20BF49E}"/>
              </c:ext>
            </c:extLst>
          </c:dPt>
          <c:dPt>
            <c:idx val="1"/>
            <c:invertIfNegative val="0"/>
            <c:bubble3D val="0"/>
            <c:spPr>
              <a:pattFill prst="pct50">
                <a:fgClr>
                  <a:schemeClr val="tx1"/>
                </a:fgClr>
                <a:bgClr>
                  <a:schemeClr val="bg1"/>
                </a:bgClr>
              </a:pattFill>
              <a:ln w="15875">
                <a:solidFill>
                  <a:schemeClr val="tx1"/>
                </a:solidFill>
              </a:ln>
              <a:effectLst/>
            </c:spPr>
            <c:extLst>
              <c:ext xmlns:c16="http://schemas.microsoft.com/office/drawing/2014/chart" uri="{C3380CC4-5D6E-409C-BE32-E72D297353CC}">
                <c16:uniqueId val="{00000003-F006-4F30-8BA0-24ADE20BF49E}"/>
              </c:ext>
            </c:extLst>
          </c:dPt>
          <c:dPt>
            <c:idx val="3"/>
            <c:invertIfNegative val="0"/>
            <c:bubble3D val="0"/>
            <c:spPr>
              <a:pattFill prst="pct5">
                <a:fgClr>
                  <a:schemeClr val="tx1"/>
                </a:fgClr>
                <a:bgClr>
                  <a:schemeClr val="bg1"/>
                </a:bgClr>
              </a:pattFill>
              <a:ln w="15875">
                <a:solidFill>
                  <a:schemeClr val="tx1"/>
                </a:solidFill>
              </a:ln>
              <a:effectLst/>
            </c:spPr>
            <c:extLst>
              <c:ext xmlns:c16="http://schemas.microsoft.com/office/drawing/2014/chart" uri="{C3380CC4-5D6E-409C-BE32-E72D297353CC}">
                <c16:uniqueId val="{00000005-F006-4F30-8BA0-24ADE20BF49E}"/>
              </c:ext>
            </c:extLst>
          </c:dPt>
          <c:dPt>
            <c:idx val="4"/>
            <c:invertIfNegative val="0"/>
            <c:bubble3D val="0"/>
            <c:spPr>
              <a:pattFill prst="smCheck">
                <a:fgClr>
                  <a:schemeClr val="tx1"/>
                </a:fgClr>
                <a:bgClr>
                  <a:schemeClr val="bg1"/>
                </a:bgClr>
              </a:pattFill>
              <a:ln w="15875">
                <a:solidFill>
                  <a:schemeClr val="tx1"/>
                </a:solidFill>
              </a:ln>
              <a:effectLst/>
            </c:spPr>
            <c:extLst>
              <c:ext xmlns:c16="http://schemas.microsoft.com/office/drawing/2014/chart" uri="{C3380CC4-5D6E-409C-BE32-E72D297353CC}">
                <c16:uniqueId val="{00000007-F006-4F30-8BA0-24ADE20BF49E}"/>
              </c:ext>
            </c:extLst>
          </c:dPt>
          <c:dPt>
            <c:idx val="6"/>
            <c:invertIfNegative val="0"/>
            <c:bubble3D val="0"/>
            <c:spPr>
              <a:pattFill prst="ltHorz">
                <a:fgClr>
                  <a:schemeClr val="tx1"/>
                </a:fgClr>
                <a:bgClr>
                  <a:schemeClr val="bg1"/>
                </a:bgClr>
              </a:pattFill>
              <a:ln w="15875">
                <a:solidFill>
                  <a:schemeClr val="tx1"/>
                </a:solidFill>
              </a:ln>
              <a:effectLst/>
            </c:spPr>
            <c:extLst>
              <c:ext xmlns:c16="http://schemas.microsoft.com/office/drawing/2014/chart" uri="{C3380CC4-5D6E-409C-BE32-E72D297353CC}">
                <c16:uniqueId val="{00000009-F006-4F30-8BA0-24ADE20BF49E}"/>
              </c:ext>
            </c:extLst>
          </c:dPt>
          <c:dPt>
            <c:idx val="7"/>
            <c:invertIfNegative val="0"/>
            <c:bubble3D val="0"/>
            <c:spPr>
              <a:pattFill prst="narVert">
                <a:fgClr>
                  <a:schemeClr val="tx1"/>
                </a:fgClr>
                <a:bgClr>
                  <a:schemeClr val="bg1"/>
                </a:bgClr>
              </a:pattFill>
              <a:ln w="15875">
                <a:solidFill>
                  <a:schemeClr val="tx1"/>
                </a:solidFill>
              </a:ln>
              <a:effectLst/>
            </c:spPr>
            <c:extLst>
              <c:ext xmlns:c16="http://schemas.microsoft.com/office/drawing/2014/chart" uri="{C3380CC4-5D6E-409C-BE32-E72D297353CC}">
                <c16:uniqueId val="{0000000B-F006-4F30-8BA0-24ADE20BF49E}"/>
              </c:ext>
            </c:extLst>
          </c:dPt>
          <c:dPt>
            <c:idx val="9"/>
            <c:invertIfNegative val="0"/>
            <c:bubble3D val="0"/>
            <c:spPr>
              <a:pattFill prst="pct75">
                <a:fgClr>
                  <a:schemeClr val="tx1"/>
                </a:fgClr>
                <a:bgClr>
                  <a:schemeClr val="bg1"/>
                </a:bgClr>
              </a:pattFill>
              <a:ln w="15875">
                <a:solidFill>
                  <a:schemeClr val="tx1"/>
                </a:solidFill>
              </a:ln>
              <a:effectLst/>
            </c:spPr>
            <c:extLst>
              <c:ext xmlns:c16="http://schemas.microsoft.com/office/drawing/2014/chart" uri="{C3380CC4-5D6E-409C-BE32-E72D297353CC}">
                <c16:uniqueId val="{0000000D-F006-4F30-8BA0-24ADE20BF49E}"/>
              </c:ext>
            </c:extLst>
          </c:dPt>
          <c:dPt>
            <c:idx val="10"/>
            <c:invertIfNegative val="0"/>
            <c:bubble3D val="0"/>
            <c:spPr>
              <a:pattFill prst="diagBrick">
                <a:fgClr>
                  <a:schemeClr val="tx1"/>
                </a:fgClr>
                <a:bgClr>
                  <a:schemeClr val="bg1"/>
                </a:bgClr>
              </a:pattFill>
              <a:ln w="15875">
                <a:solidFill>
                  <a:schemeClr val="tx1"/>
                </a:solidFill>
              </a:ln>
              <a:effectLst/>
            </c:spPr>
            <c:extLst>
              <c:ext xmlns:c16="http://schemas.microsoft.com/office/drawing/2014/chart" uri="{C3380CC4-5D6E-409C-BE32-E72D297353CC}">
                <c16:uniqueId val="{0000000F-F006-4F30-8BA0-24ADE20BF49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cust"/>
            <c:noEndCap val="0"/>
            <c:plus>
              <c:numRef>
                <c:f>Sheet1!$Z$6:$Z$16</c:f>
                <c:numCache>
                  <c:formatCode>General</c:formatCode>
                  <c:ptCount val="11"/>
                  <c:pt idx="0">
                    <c:v>0.21579999999999999</c:v>
                  </c:pt>
                  <c:pt idx="1">
                    <c:v>0.27889999999999998</c:v>
                  </c:pt>
                  <c:pt idx="3">
                    <c:v>0.71150000000000002</c:v>
                  </c:pt>
                  <c:pt idx="4">
                    <c:v>0.23</c:v>
                  </c:pt>
                  <c:pt idx="6">
                    <c:v>0.34179999999999999</c:v>
                  </c:pt>
                  <c:pt idx="7">
                    <c:v>0.38600000000000001</c:v>
                  </c:pt>
                  <c:pt idx="9">
                    <c:v>8.2000000000000003E-2</c:v>
                  </c:pt>
                  <c:pt idx="10">
                    <c:v>0.14699999999999999</c:v>
                  </c:pt>
                </c:numCache>
              </c:numRef>
            </c:plus>
            <c:minus>
              <c:numRef>
                <c:f>Sheet1!$Z$6:$Z$16</c:f>
                <c:numCache>
                  <c:formatCode>General</c:formatCode>
                  <c:ptCount val="11"/>
                  <c:pt idx="0">
                    <c:v>0.21579999999999999</c:v>
                  </c:pt>
                  <c:pt idx="1">
                    <c:v>0.27889999999999998</c:v>
                  </c:pt>
                  <c:pt idx="3">
                    <c:v>0.71150000000000002</c:v>
                  </c:pt>
                  <c:pt idx="4">
                    <c:v>0.23</c:v>
                  </c:pt>
                  <c:pt idx="6">
                    <c:v>0.34179999999999999</c:v>
                  </c:pt>
                  <c:pt idx="7">
                    <c:v>0.38600000000000001</c:v>
                  </c:pt>
                  <c:pt idx="9">
                    <c:v>8.2000000000000003E-2</c:v>
                  </c:pt>
                  <c:pt idx="10">
                    <c:v>0.14699999999999999</c:v>
                  </c:pt>
                </c:numCache>
              </c:numRef>
            </c:minus>
            <c:spPr>
              <a:noFill/>
              <a:ln w="15875" cap="flat" cmpd="sng" algn="ctr">
                <a:solidFill>
                  <a:schemeClr val="tx1">
                    <a:lumMod val="65000"/>
                    <a:lumOff val="35000"/>
                  </a:schemeClr>
                </a:solidFill>
                <a:round/>
              </a:ln>
              <a:effectLst/>
            </c:spPr>
          </c:errBars>
          <c:cat>
            <c:strRef>
              <c:f>Sheet1!$X$6:$X$16</c:f>
              <c:strCache>
                <c:ptCount val="11"/>
                <c:pt idx="0">
                  <c:v>SC9膨大期</c:v>
                </c:pt>
                <c:pt idx="1">
                  <c:v>SC9成熟期</c:v>
                </c:pt>
                <c:pt idx="3">
                  <c:v>6068膨大期</c:v>
                </c:pt>
                <c:pt idx="4">
                  <c:v>6068成熟期</c:v>
                </c:pt>
                <c:pt idx="6">
                  <c:v>粉红木薯膨大期</c:v>
                </c:pt>
                <c:pt idx="7">
                  <c:v>粉红木薯成熟期</c:v>
                </c:pt>
                <c:pt idx="9">
                  <c:v>紫叶黄心膨大期</c:v>
                </c:pt>
                <c:pt idx="10">
                  <c:v>紫叶黄心成熟期</c:v>
                </c:pt>
              </c:strCache>
            </c:strRef>
          </c:cat>
          <c:val>
            <c:numRef>
              <c:f>Sheet1!$Y$6:$Y$16</c:f>
              <c:numCache>
                <c:formatCode>General</c:formatCode>
                <c:ptCount val="11"/>
                <c:pt idx="0">
                  <c:v>9.1999999999999993</c:v>
                </c:pt>
                <c:pt idx="1">
                  <c:v>16.96</c:v>
                </c:pt>
                <c:pt idx="3">
                  <c:v>5.74</c:v>
                </c:pt>
                <c:pt idx="4">
                  <c:v>21.64</c:v>
                </c:pt>
                <c:pt idx="6">
                  <c:v>12.75</c:v>
                </c:pt>
                <c:pt idx="7">
                  <c:v>13.484999999999999</c:v>
                </c:pt>
                <c:pt idx="9">
                  <c:v>7.14</c:v>
                </c:pt>
                <c:pt idx="10">
                  <c:v>13.061999999999999</c:v>
                </c:pt>
              </c:numCache>
            </c:numRef>
          </c:val>
          <c:extLst>
            <c:ext xmlns:c16="http://schemas.microsoft.com/office/drawing/2014/chart" uri="{C3380CC4-5D6E-409C-BE32-E72D297353CC}">
              <c16:uniqueId val="{00000010-F006-4F30-8BA0-24ADE20BF49E}"/>
            </c:ext>
          </c:extLst>
        </c:ser>
        <c:dLbls>
          <c:dLblPos val="outEnd"/>
          <c:showLegendKey val="0"/>
          <c:showVal val="1"/>
          <c:showCatName val="0"/>
          <c:showSerName val="0"/>
          <c:showPercent val="0"/>
          <c:showBubbleSize val="0"/>
        </c:dLbls>
        <c:gapWidth val="0"/>
        <c:axId val="1816076448"/>
        <c:axId val="1816081440"/>
      </c:barChart>
      <c:catAx>
        <c:axId val="1816076448"/>
        <c:scaling>
          <c:orientation val="minMax"/>
        </c:scaling>
        <c:delete val="0"/>
        <c:axPos val="b"/>
        <c:numFmt formatCode="General" sourceLinked="1"/>
        <c:majorTickMark val="in"/>
        <c:minorTickMark val="none"/>
        <c:tickLblPos val="nextTo"/>
        <c:spPr>
          <a:noFill/>
          <a:ln w="1587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816081440"/>
        <c:crosses val="autoZero"/>
        <c:auto val="1"/>
        <c:lblAlgn val="ctr"/>
        <c:lblOffset val="100"/>
        <c:noMultiLvlLbl val="0"/>
      </c:catAx>
      <c:valAx>
        <c:axId val="181608144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zh-CN" altLang="en-US" dirty="0"/>
                  <a:t>相对表达量</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zh-CN"/>
            </a:p>
          </c:txPr>
        </c:title>
        <c:numFmt formatCode="General" sourceLinked="1"/>
        <c:majorTickMark val="in"/>
        <c:minorTickMark val="none"/>
        <c:tickLblPos val="nextTo"/>
        <c:spPr>
          <a:noFill/>
          <a:ln w="15875">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8160764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ltLang="zh-CN"/>
              <a:t>APX</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barChart>
        <c:barDir val="col"/>
        <c:grouping val="clustered"/>
        <c:varyColors val="0"/>
        <c:ser>
          <c:idx val="0"/>
          <c:order val="0"/>
          <c:spPr>
            <a:solidFill>
              <a:schemeClr val="accent1"/>
            </a:solidFill>
            <a:ln w="15875">
              <a:solidFill>
                <a:schemeClr val="tx1"/>
              </a:solidFill>
            </a:ln>
            <a:effectLst/>
          </c:spPr>
          <c:invertIfNegative val="0"/>
          <c:dPt>
            <c:idx val="0"/>
            <c:invertIfNegative val="0"/>
            <c:bubble3D val="0"/>
            <c:spPr>
              <a:pattFill prst="ltDnDiag">
                <a:fgClr>
                  <a:schemeClr val="tx1"/>
                </a:fgClr>
                <a:bgClr>
                  <a:schemeClr val="bg1"/>
                </a:bgClr>
              </a:pattFill>
              <a:ln w="15875">
                <a:solidFill>
                  <a:schemeClr val="tx1"/>
                </a:solidFill>
              </a:ln>
              <a:effectLst/>
            </c:spPr>
            <c:extLst>
              <c:ext xmlns:c16="http://schemas.microsoft.com/office/drawing/2014/chart" uri="{C3380CC4-5D6E-409C-BE32-E72D297353CC}">
                <c16:uniqueId val="{00000001-C654-4985-B8FB-2287FF42B7E4}"/>
              </c:ext>
            </c:extLst>
          </c:dPt>
          <c:dPt>
            <c:idx val="1"/>
            <c:invertIfNegative val="0"/>
            <c:bubble3D val="0"/>
            <c:spPr>
              <a:pattFill prst="pct50">
                <a:fgClr>
                  <a:schemeClr val="tx1"/>
                </a:fgClr>
                <a:bgClr>
                  <a:schemeClr val="bg1"/>
                </a:bgClr>
              </a:pattFill>
              <a:ln w="15875">
                <a:solidFill>
                  <a:schemeClr val="tx1"/>
                </a:solidFill>
              </a:ln>
              <a:effectLst/>
            </c:spPr>
            <c:extLst>
              <c:ext xmlns:c16="http://schemas.microsoft.com/office/drawing/2014/chart" uri="{C3380CC4-5D6E-409C-BE32-E72D297353CC}">
                <c16:uniqueId val="{00000003-C654-4985-B8FB-2287FF42B7E4}"/>
              </c:ext>
            </c:extLst>
          </c:dPt>
          <c:dPt>
            <c:idx val="3"/>
            <c:invertIfNegative val="0"/>
            <c:bubble3D val="0"/>
            <c:spPr>
              <a:pattFill prst="pct5">
                <a:fgClr>
                  <a:schemeClr val="tx1"/>
                </a:fgClr>
                <a:bgClr>
                  <a:schemeClr val="bg1"/>
                </a:bgClr>
              </a:pattFill>
              <a:ln w="15875">
                <a:solidFill>
                  <a:schemeClr val="tx1"/>
                </a:solidFill>
              </a:ln>
              <a:effectLst/>
            </c:spPr>
            <c:extLst>
              <c:ext xmlns:c16="http://schemas.microsoft.com/office/drawing/2014/chart" uri="{C3380CC4-5D6E-409C-BE32-E72D297353CC}">
                <c16:uniqueId val="{00000005-C654-4985-B8FB-2287FF42B7E4}"/>
              </c:ext>
            </c:extLst>
          </c:dPt>
          <c:dPt>
            <c:idx val="4"/>
            <c:invertIfNegative val="0"/>
            <c:bubble3D val="0"/>
            <c:spPr>
              <a:pattFill prst="smCheck">
                <a:fgClr>
                  <a:schemeClr val="tx1"/>
                </a:fgClr>
                <a:bgClr>
                  <a:schemeClr val="bg1"/>
                </a:bgClr>
              </a:pattFill>
              <a:ln w="15875">
                <a:solidFill>
                  <a:schemeClr val="tx1"/>
                </a:solidFill>
              </a:ln>
              <a:effectLst/>
            </c:spPr>
            <c:extLst>
              <c:ext xmlns:c16="http://schemas.microsoft.com/office/drawing/2014/chart" uri="{C3380CC4-5D6E-409C-BE32-E72D297353CC}">
                <c16:uniqueId val="{00000007-C654-4985-B8FB-2287FF42B7E4}"/>
              </c:ext>
            </c:extLst>
          </c:dPt>
          <c:dPt>
            <c:idx val="6"/>
            <c:invertIfNegative val="0"/>
            <c:bubble3D val="0"/>
            <c:spPr>
              <a:pattFill prst="ltHorz">
                <a:fgClr>
                  <a:schemeClr val="tx1"/>
                </a:fgClr>
                <a:bgClr>
                  <a:schemeClr val="bg1"/>
                </a:bgClr>
              </a:pattFill>
              <a:ln w="15875">
                <a:solidFill>
                  <a:schemeClr val="tx1"/>
                </a:solidFill>
              </a:ln>
              <a:effectLst/>
            </c:spPr>
            <c:extLst>
              <c:ext xmlns:c16="http://schemas.microsoft.com/office/drawing/2014/chart" uri="{C3380CC4-5D6E-409C-BE32-E72D297353CC}">
                <c16:uniqueId val="{00000009-C654-4985-B8FB-2287FF42B7E4}"/>
              </c:ext>
            </c:extLst>
          </c:dPt>
          <c:dPt>
            <c:idx val="7"/>
            <c:invertIfNegative val="0"/>
            <c:bubble3D val="0"/>
            <c:spPr>
              <a:pattFill prst="narVert">
                <a:fgClr>
                  <a:schemeClr val="tx1"/>
                </a:fgClr>
                <a:bgClr>
                  <a:schemeClr val="bg1"/>
                </a:bgClr>
              </a:pattFill>
              <a:ln w="15875">
                <a:solidFill>
                  <a:schemeClr val="tx1"/>
                </a:solidFill>
              </a:ln>
              <a:effectLst/>
            </c:spPr>
            <c:extLst>
              <c:ext xmlns:c16="http://schemas.microsoft.com/office/drawing/2014/chart" uri="{C3380CC4-5D6E-409C-BE32-E72D297353CC}">
                <c16:uniqueId val="{0000000B-C654-4985-B8FB-2287FF42B7E4}"/>
              </c:ext>
            </c:extLst>
          </c:dPt>
          <c:dPt>
            <c:idx val="9"/>
            <c:invertIfNegative val="0"/>
            <c:bubble3D val="0"/>
            <c:spPr>
              <a:pattFill prst="pct75">
                <a:fgClr>
                  <a:schemeClr val="tx1"/>
                </a:fgClr>
                <a:bgClr>
                  <a:schemeClr val="bg1"/>
                </a:bgClr>
              </a:pattFill>
              <a:ln w="15875">
                <a:solidFill>
                  <a:schemeClr val="tx1"/>
                </a:solidFill>
              </a:ln>
              <a:effectLst/>
            </c:spPr>
            <c:extLst>
              <c:ext xmlns:c16="http://schemas.microsoft.com/office/drawing/2014/chart" uri="{C3380CC4-5D6E-409C-BE32-E72D297353CC}">
                <c16:uniqueId val="{0000000D-C654-4985-B8FB-2287FF42B7E4}"/>
              </c:ext>
            </c:extLst>
          </c:dPt>
          <c:dPt>
            <c:idx val="10"/>
            <c:invertIfNegative val="0"/>
            <c:bubble3D val="0"/>
            <c:spPr>
              <a:pattFill prst="diagBrick">
                <a:fgClr>
                  <a:schemeClr val="tx1"/>
                </a:fgClr>
                <a:bgClr>
                  <a:schemeClr val="bg1"/>
                </a:bgClr>
              </a:pattFill>
              <a:ln w="15875">
                <a:solidFill>
                  <a:schemeClr val="tx1"/>
                </a:solidFill>
              </a:ln>
              <a:effectLst/>
            </c:spPr>
            <c:extLst>
              <c:ext xmlns:c16="http://schemas.microsoft.com/office/drawing/2014/chart" uri="{C3380CC4-5D6E-409C-BE32-E72D297353CC}">
                <c16:uniqueId val="{0000000F-C654-4985-B8FB-2287FF42B7E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cust"/>
            <c:noEndCap val="0"/>
            <c:plus>
              <c:numRef>
                <c:f>Sheet1!$Z$37:$Z$47</c:f>
                <c:numCache>
                  <c:formatCode>General</c:formatCode>
                  <c:ptCount val="11"/>
                  <c:pt idx="0">
                    <c:v>0.19800000000000001</c:v>
                  </c:pt>
                  <c:pt idx="1">
                    <c:v>0.28000000000000003</c:v>
                  </c:pt>
                  <c:pt idx="3">
                    <c:v>0.215</c:v>
                  </c:pt>
                  <c:pt idx="4">
                    <c:v>0.20699999999999999</c:v>
                  </c:pt>
                  <c:pt idx="6">
                    <c:v>0.23649999999999999</c:v>
                  </c:pt>
                  <c:pt idx="7">
                    <c:v>0.2359</c:v>
                  </c:pt>
                  <c:pt idx="9">
                    <c:v>0.08</c:v>
                  </c:pt>
                  <c:pt idx="10">
                    <c:v>0.19600000000000001</c:v>
                  </c:pt>
                </c:numCache>
              </c:numRef>
            </c:plus>
            <c:minus>
              <c:numRef>
                <c:f>Sheet1!$Z$37:$Z$47</c:f>
                <c:numCache>
                  <c:formatCode>General</c:formatCode>
                  <c:ptCount val="11"/>
                  <c:pt idx="0">
                    <c:v>0.19800000000000001</c:v>
                  </c:pt>
                  <c:pt idx="1">
                    <c:v>0.28000000000000003</c:v>
                  </c:pt>
                  <c:pt idx="3">
                    <c:v>0.215</c:v>
                  </c:pt>
                  <c:pt idx="4">
                    <c:v>0.20699999999999999</c:v>
                  </c:pt>
                  <c:pt idx="6">
                    <c:v>0.23649999999999999</c:v>
                  </c:pt>
                  <c:pt idx="7">
                    <c:v>0.2359</c:v>
                  </c:pt>
                  <c:pt idx="9">
                    <c:v>0.08</c:v>
                  </c:pt>
                  <c:pt idx="10">
                    <c:v>0.19600000000000001</c:v>
                  </c:pt>
                </c:numCache>
              </c:numRef>
            </c:minus>
            <c:spPr>
              <a:noFill/>
              <a:ln w="15875" cap="flat" cmpd="sng" algn="ctr">
                <a:solidFill>
                  <a:schemeClr val="tx1">
                    <a:lumMod val="65000"/>
                    <a:lumOff val="35000"/>
                  </a:schemeClr>
                </a:solidFill>
                <a:round/>
              </a:ln>
              <a:effectLst/>
            </c:spPr>
          </c:errBars>
          <c:cat>
            <c:strRef>
              <c:f>Sheet1!$X$37:$X$47</c:f>
              <c:strCache>
                <c:ptCount val="11"/>
                <c:pt idx="0">
                  <c:v>SC9膨大期</c:v>
                </c:pt>
                <c:pt idx="1">
                  <c:v>SC9成熟期</c:v>
                </c:pt>
                <c:pt idx="3">
                  <c:v>6068膨大期</c:v>
                </c:pt>
                <c:pt idx="4">
                  <c:v>6068成熟期</c:v>
                </c:pt>
                <c:pt idx="6">
                  <c:v>粉红木薯膨大期</c:v>
                </c:pt>
                <c:pt idx="7">
                  <c:v>粉红木薯成熟期</c:v>
                </c:pt>
                <c:pt idx="9">
                  <c:v>紫叶黄心膨大期</c:v>
                </c:pt>
                <c:pt idx="10">
                  <c:v>紫叶黄心成熟期</c:v>
                </c:pt>
              </c:strCache>
            </c:strRef>
          </c:cat>
          <c:val>
            <c:numRef>
              <c:f>Sheet1!$Y$37:$Y$47</c:f>
              <c:numCache>
                <c:formatCode>General</c:formatCode>
                <c:ptCount val="11"/>
                <c:pt idx="0">
                  <c:v>4.1336000000000004</c:v>
                </c:pt>
                <c:pt idx="1">
                  <c:v>23.301670000000001</c:v>
                </c:pt>
                <c:pt idx="3">
                  <c:v>0.86166699999999996</c:v>
                </c:pt>
                <c:pt idx="4">
                  <c:v>22.052</c:v>
                </c:pt>
                <c:pt idx="6">
                  <c:v>2.254</c:v>
                </c:pt>
                <c:pt idx="7">
                  <c:v>24.881</c:v>
                </c:pt>
                <c:pt idx="9">
                  <c:v>3.0756600000000001</c:v>
                </c:pt>
                <c:pt idx="10">
                  <c:v>19.440000000000001</c:v>
                </c:pt>
              </c:numCache>
            </c:numRef>
          </c:val>
          <c:extLst>
            <c:ext xmlns:c16="http://schemas.microsoft.com/office/drawing/2014/chart" uri="{C3380CC4-5D6E-409C-BE32-E72D297353CC}">
              <c16:uniqueId val="{00000010-C654-4985-B8FB-2287FF42B7E4}"/>
            </c:ext>
          </c:extLst>
        </c:ser>
        <c:dLbls>
          <c:dLblPos val="outEnd"/>
          <c:showLegendKey val="0"/>
          <c:showVal val="1"/>
          <c:showCatName val="0"/>
          <c:showSerName val="0"/>
          <c:showPercent val="0"/>
          <c:showBubbleSize val="0"/>
        </c:dLbls>
        <c:gapWidth val="0"/>
        <c:overlap val="-27"/>
        <c:axId val="1641130960"/>
        <c:axId val="1641135120"/>
      </c:barChart>
      <c:catAx>
        <c:axId val="1641130960"/>
        <c:scaling>
          <c:orientation val="minMax"/>
        </c:scaling>
        <c:delete val="0"/>
        <c:axPos val="b"/>
        <c:numFmt formatCode="General" sourceLinked="1"/>
        <c:majorTickMark val="in"/>
        <c:minorTickMark val="none"/>
        <c:tickLblPos val="nextTo"/>
        <c:spPr>
          <a:noFill/>
          <a:ln w="1587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641135120"/>
        <c:crosses val="autoZero"/>
        <c:auto val="1"/>
        <c:lblAlgn val="ctr"/>
        <c:lblOffset val="100"/>
        <c:noMultiLvlLbl val="0"/>
      </c:catAx>
      <c:valAx>
        <c:axId val="164113512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zh-CN" altLang="en-US"/>
                  <a:t>相对表达量</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zh-CN"/>
            </a:p>
          </c:txPr>
        </c:title>
        <c:numFmt formatCode="General" sourceLinked="1"/>
        <c:majorTickMark val="in"/>
        <c:minorTickMark val="none"/>
        <c:tickLblPos val="nextTo"/>
        <c:spPr>
          <a:noFill/>
          <a:ln w="15875">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6411309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ltLang="zh-CN"/>
              <a:t>Fe-SOD</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manualLayout>
          <c:layoutTarget val="inner"/>
          <c:xMode val="edge"/>
          <c:yMode val="edge"/>
          <c:x val="0.13477537182852142"/>
          <c:y val="0.19486111111111112"/>
          <c:w val="0.84022462817147858"/>
          <c:h val="0.52561570428696414"/>
        </c:manualLayout>
      </c:layout>
      <c:barChart>
        <c:barDir val="col"/>
        <c:grouping val="clustered"/>
        <c:varyColors val="0"/>
        <c:ser>
          <c:idx val="0"/>
          <c:order val="0"/>
          <c:spPr>
            <a:solidFill>
              <a:schemeClr val="accent1"/>
            </a:solidFill>
            <a:ln w="15875">
              <a:solidFill>
                <a:schemeClr val="tx1"/>
              </a:solidFill>
            </a:ln>
            <a:effectLst/>
          </c:spPr>
          <c:invertIfNegative val="0"/>
          <c:dPt>
            <c:idx val="0"/>
            <c:invertIfNegative val="0"/>
            <c:bubble3D val="0"/>
            <c:spPr>
              <a:pattFill prst="ltDnDiag">
                <a:fgClr>
                  <a:schemeClr val="tx1"/>
                </a:fgClr>
                <a:bgClr>
                  <a:schemeClr val="bg1"/>
                </a:bgClr>
              </a:pattFill>
              <a:ln w="15875">
                <a:solidFill>
                  <a:schemeClr val="tx1"/>
                </a:solidFill>
              </a:ln>
              <a:effectLst/>
            </c:spPr>
            <c:extLst>
              <c:ext xmlns:c16="http://schemas.microsoft.com/office/drawing/2014/chart" uri="{C3380CC4-5D6E-409C-BE32-E72D297353CC}">
                <c16:uniqueId val="{00000001-37E8-477C-BA64-EFDA569A94C3}"/>
              </c:ext>
            </c:extLst>
          </c:dPt>
          <c:dPt>
            <c:idx val="1"/>
            <c:invertIfNegative val="0"/>
            <c:bubble3D val="0"/>
            <c:spPr>
              <a:pattFill prst="pct50">
                <a:fgClr>
                  <a:schemeClr val="tx1"/>
                </a:fgClr>
                <a:bgClr>
                  <a:schemeClr val="bg1"/>
                </a:bgClr>
              </a:pattFill>
              <a:ln w="15875">
                <a:solidFill>
                  <a:schemeClr val="tx1"/>
                </a:solidFill>
              </a:ln>
              <a:effectLst/>
            </c:spPr>
            <c:extLst>
              <c:ext xmlns:c16="http://schemas.microsoft.com/office/drawing/2014/chart" uri="{C3380CC4-5D6E-409C-BE32-E72D297353CC}">
                <c16:uniqueId val="{00000003-37E8-477C-BA64-EFDA569A94C3}"/>
              </c:ext>
            </c:extLst>
          </c:dPt>
          <c:dPt>
            <c:idx val="3"/>
            <c:invertIfNegative val="0"/>
            <c:bubble3D val="0"/>
            <c:spPr>
              <a:pattFill prst="pct5">
                <a:fgClr>
                  <a:schemeClr val="tx1"/>
                </a:fgClr>
                <a:bgClr>
                  <a:schemeClr val="bg1"/>
                </a:bgClr>
              </a:pattFill>
              <a:ln w="15875">
                <a:solidFill>
                  <a:schemeClr val="tx1"/>
                </a:solidFill>
              </a:ln>
              <a:effectLst/>
            </c:spPr>
            <c:extLst>
              <c:ext xmlns:c16="http://schemas.microsoft.com/office/drawing/2014/chart" uri="{C3380CC4-5D6E-409C-BE32-E72D297353CC}">
                <c16:uniqueId val="{00000005-37E8-477C-BA64-EFDA569A94C3}"/>
              </c:ext>
            </c:extLst>
          </c:dPt>
          <c:dPt>
            <c:idx val="4"/>
            <c:invertIfNegative val="0"/>
            <c:bubble3D val="0"/>
            <c:spPr>
              <a:pattFill prst="smCheck">
                <a:fgClr>
                  <a:schemeClr val="tx1"/>
                </a:fgClr>
                <a:bgClr>
                  <a:schemeClr val="bg1"/>
                </a:bgClr>
              </a:pattFill>
              <a:ln w="15875">
                <a:solidFill>
                  <a:schemeClr val="tx1"/>
                </a:solidFill>
              </a:ln>
              <a:effectLst/>
            </c:spPr>
            <c:extLst>
              <c:ext xmlns:c16="http://schemas.microsoft.com/office/drawing/2014/chart" uri="{C3380CC4-5D6E-409C-BE32-E72D297353CC}">
                <c16:uniqueId val="{00000007-37E8-477C-BA64-EFDA569A94C3}"/>
              </c:ext>
            </c:extLst>
          </c:dPt>
          <c:dPt>
            <c:idx val="6"/>
            <c:invertIfNegative val="0"/>
            <c:bubble3D val="0"/>
            <c:spPr>
              <a:pattFill prst="ltHorz">
                <a:fgClr>
                  <a:schemeClr val="tx1"/>
                </a:fgClr>
                <a:bgClr>
                  <a:schemeClr val="bg1"/>
                </a:bgClr>
              </a:pattFill>
              <a:ln w="15875">
                <a:solidFill>
                  <a:schemeClr val="tx1"/>
                </a:solidFill>
              </a:ln>
              <a:effectLst/>
            </c:spPr>
            <c:extLst>
              <c:ext xmlns:c16="http://schemas.microsoft.com/office/drawing/2014/chart" uri="{C3380CC4-5D6E-409C-BE32-E72D297353CC}">
                <c16:uniqueId val="{00000009-37E8-477C-BA64-EFDA569A94C3}"/>
              </c:ext>
            </c:extLst>
          </c:dPt>
          <c:dPt>
            <c:idx val="7"/>
            <c:invertIfNegative val="0"/>
            <c:bubble3D val="0"/>
            <c:spPr>
              <a:pattFill prst="narVert">
                <a:fgClr>
                  <a:schemeClr val="tx1"/>
                </a:fgClr>
                <a:bgClr>
                  <a:schemeClr val="bg1"/>
                </a:bgClr>
              </a:pattFill>
              <a:ln w="15875">
                <a:solidFill>
                  <a:schemeClr val="tx1"/>
                </a:solidFill>
              </a:ln>
              <a:effectLst/>
            </c:spPr>
            <c:extLst>
              <c:ext xmlns:c16="http://schemas.microsoft.com/office/drawing/2014/chart" uri="{C3380CC4-5D6E-409C-BE32-E72D297353CC}">
                <c16:uniqueId val="{0000000B-37E8-477C-BA64-EFDA569A94C3}"/>
              </c:ext>
            </c:extLst>
          </c:dPt>
          <c:dPt>
            <c:idx val="9"/>
            <c:invertIfNegative val="0"/>
            <c:bubble3D val="0"/>
            <c:spPr>
              <a:pattFill prst="pct75">
                <a:fgClr>
                  <a:schemeClr val="tx1"/>
                </a:fgClr>
                <a:bgClr>
                  <a:schemeClr val="bg1"/>
                </a:bgClr>
              </a:pattFill>
              <a:ln w="15875">
                <a:solidFill>
                  <a:schemeClr val="tx1"/>
                </a:solidFill>
              </a:ln>
              <a:effectLst/>
            </c:spPr>
            <c:extLst>
              <c:ext xmlns:c16="http://schemas.microsoft.com/office/drawing/2014/chart" uri="{C3380CC4-5D6E-409C-BE32-E72D297353CC}">
                <c16:uniqueId val="{0000000D-37E8-477C-BA64-EFDA569A94C3}"/>
              </c:ext>
            </c:extLst>
          </c:dPt>
          <c:dPt>
            <c:idx val="10"/>
            <c:invertIfNegative val="0"/>
            <c:bubble3D val="0"/>
            <c:spPr>
              <a:pattFill prst="diagBrick">
                <a:fgClr>
                  <a:schemeClr val="tx1"/>
                </a:fgClr>
                <a:bgClr>
                  <a:schemeClr val="bg1"/>
                </a:bgClr>
              </a:pattFill>
              <a:ln w="15875">
                <a:solidFill>
                  <a:schemeClr val="tx1"/>
                </a:solidFill>
              </a:ln>
              <a:effectLst/>
            </c:spPr>
            <c:extLst>
              <c:ext xmlns:c16="http://schemas.microsoft.com/office/drawing/2014/chart" uri="{C3380CC4-5D6E-409C-BE32-E72D297353CC}">
                <c16:uniqueId val="{0000000F-37E8-477C-BA64-EFDA569A94C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cust"/>
            <c:noEndCap val="0"/>
            <c:plus>
              <c:numRef>
                <c:f>Sheet1!$Z$52:$Z$62</c:f>
                <c:numCache>
                  <c:formatCode>General</c:formatCode>
                  <c:ptCount val="11"/>
                  <c:pt idx="0">
                    <c:v>0.56399999999999995</c:v>
                  </c:pt>
                  <c:pt idx="1">
                    <c:v>0.18099999999999999</c:v>
                  </c:pt>
                  <c:pt idx="3">
                    <c:v>0.27100000000000002</c:v>
                  </c:pt>
                  <c:pt idx="4">
                    <c:v>0.30099999999999999</c:v>
                  </c:pt>
                  <c:pt idx="6">
                    <c:v>0.33279999999999998</c:v>
                  </c:pt>
                  <c:pt idx="7">
                    <c:v>0.36099999999999999</c:v>
                  </c:pt>
                  <c:pt idx="9">
                    <c:v>0.182</c:v>
                  </c:pt>
                  <c:pt idx="10">
                    <c:v>0.26100000000000001</c:v>
                  </c:pt>
                </c:numCache>
              </c:numRef>
            </c:plus>
            <c:minus>
              <c:numRef>
                <c:f>Sheet1!$Z$52:$Z$62</c:f>
                <c:numCache>
                  <c:formatCode>General</c:formatCode>
                  <c:ptCount val="11"/>
                  <c:pt idx="0">
                    <c:v>0.56399999999999995</c:v>
                  </c:pt>
                  <c:pt idx="1">
                    <c:v>0.18099999999999999</c:v>
                  </c:pt>
                  <c:pt idx="3">
                    <c:v>0.27100000000000002</c:v>
                  </c:pt>
                  <c:pt idx="4">
                    <c:v>0.30099999999999999</c:v>
                  </c:pt>
                  <c:pt idx="6">
                    <c:v>0.33279999999999998</c:v>
                  </c:pt>
                  <c:pt idx="7">
                    <c:v>0.36099999999999999</c:v>
                  </c:pt>
                  <c:pt idx="9">
                    <c:v>0.182</c:v>
                  </c:pt>
                  <c:pt idx="10">
                    <c:v>0.26100000000000001</c:v>
                  </c:pt>
                </c:numCache>
              </c:numRef>
            </c:minus>
            <c:spPr>
              <a:noFill/>
              <a:ln w="15875" cap="flat" cmpd="sng" algn="ctr">
                <a:solidFill>
                  <a:schemeClr val="tx1">
                    <a:lumMod val="65000"/>
                    <a:lumOff val="35000"/>
                  </a:schemeClr>
                </a:solidFill>
                <a:round/>
              </a:ln>
              <a:effectLst/>
            </c:spPr>
          </c:errBars>
          <c:cat>
            <c:strRef>
              <c:f>Sheet1!$X$52:$X$62</c:f>
              <c:strCache>
                <c:ptCount val="11"/>
                <c:pt idx="0">
                  <c:v>SC9膨大期</c:v>
                </c:pt>
                <c:pt idx="1">
                  <c:v>SC9成熟期</c:v>
                </c:pt>
                <c:pt idx="3">
                  <c:v>6068膨大期</c:v>
                </c:pt>
                <c:pt idx="4">
                  <c:v>6068成熟期</c:v>
                </c:pt>
                <c:pt idx="6">
                  <c:v>粉红木薯膨大期</c:v>
                </c:pt>
                <c:pt idx="7">
                  <c:v>粉红木薯成熟期</c:v>
                </c:pt>
                <c:pt idx="9">
                  <c:v>紫叶黄心膨大期</c:v>
                </c:pt>
                <c:pt idx="10">
                  <c:v>紫叶黄心成熟期</c:v>
                </c:pt>
              </c:strCache>
            </c:strRef>
          </c:cat>
          <c:val>
            <c:numRef>
              <c:f>Sheet1!$Y$52:$Y$62</c:f>
              <c:numCache>
                <c:formatCode>General</c:formatCode>
                <c:ptCount val="11"/>
                <c:pt idx="0">
                  <c:v>14.5296</c:v>
                </c:pt>
                <c:pt idx="1">
                  <c:v>16.204999999999998</c:v>
                </c:pt>
                <c:pt idx="3">
                  <c:v>13.336</c:v>
                </c:pt>
                <c:pt idx="4">
                  <c:v>19.260999999999999</c:v>
                </c:pt>
                <c:pt idx="6">
                  <c:v>13.066000000000001</c:v>
                </c:pt>
                <c:pt idx="7">
                  <c:v>10.221</c:v>
                </c:pt>
                <c:pt idx="9">
                  <c:v>6.74</c:v>
                </c:pt>
                <c:pt idx="10">
                  <c:v>6.6369999999999996</c:v>
                </c:pt>
              </c:numCache>
            </c:numRef>
          </c:val>
          <c:extLst>
            <c:ext xmlns:c16="http://schemas.microsoft.com/office/drawing/2014/chart" uri="{C3380CC4-5D6E-409C-BE32-E72D297353CC}">
              <c16:uniqueId val="{00000010-37E8-477C-BA64-EFDA569A94C3}"/>
            </c:ext>
          </c:extLst>
        </c:ser>
        <c:dLbls>
          <c:dLblPos val="outEnd"/>
          <c:showLegendKey val="0"/>
          <c:showVal val="1"/>
          <c:showCatName val="0"/>
          <c:showSerName val="0"/>
          <c:showPercent val="0"/>
          <c:showBubbleSize val="0"/>
        </c:dLbls>
        <c:gapWidth val="0"/>
        <c:overlap val="-27"/>
        <c:axId val="1648556736"/>
        <c:axId val="1648557568"/>
      </c:barChart>
      <c:catAx>
        <c:axId val="1648556736"/>
        <c:scaling>
          <c:orientation val="minMax"/>
        </c:scaling>
        <c:delete val="0"/>
        <c:axPos val="b"/>
        <c:numFmt formatCode="General" sourceLinked="1"/>
        <c:majorTickMark val="in"/>
        <c:minorTickMark val="none"/>
        <c:tickLblPos val="nextTo"/>
        <c:spPr>
          <a:noFill/>
          <a:ln w="1587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648557568"/>
        <c:crosses val="autoZero"/>
        <c:auto val="1"/>
        <c:lblAlgn val="ctr"/>
        <c:lblOffset val="100"/>
        <c:noMultiLvlLbl val="0"/>
      </c:catAx>
      <c:valAx>
        <c:axId val="164855756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zh-CN" altLang="en-US"/>
                  <a:t>相对表达量</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zh-CN"/>
            </a:p>
          </c:txPr>
        </c:title>
        <c:numFmt formatCode="General" sourceLinked="1"/>
        <c:majorTickMark val="in"/>
        <c:minorTickMark val="none"/>
        <c:tickLblPos val="nextTo"/>
        <c:spPr>
          <a:noFill/>
          <a:ln w="15875">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648556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DA6BFF-E660-4B83-976C-603B1B5349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2194</Words>
  <Characters>12509</Characters>
  <Application>Microsoft Office Word</Application>
  <DocSecurity>0</DocSecurity>
  <Lines>104</Lines>
  <Paragraphs>29</Paragraphs>
  <ScaleCrop>false</ScaleCrop>
  <Company/>
  <LinksUpToDate>false</LinksUpToDate>
  <CharactersWithSpaces>14674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冯锦燕</dc:creator>
  <cp:keywords/>
  <dc:description/>
  <cp:lastModifiedBy>冯锦燕</cp:lastModifiedBy>
  <cp:revision>2</cp:revision>
  <dcterms:created xsi:type="dcterms:W3CDTF">2016-07-06T15:53:00Z</dcterms:created>
  <dcterms:modified xsi:type="dcterms:W3CDTF">2016-07-06T15:53:00Z</dcterms:modified>
</cp:coreProperties>
</file>